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2956" w14:textId="77777777" w:rsidR="000A36D0" w:rsidRDefault="00866844">
      <w:pPr>
        <w:ind w:left="142"/>
        <w:rPr>
          <w:rFonts w:ascii="Times New Roman"/>
          <w:sz w:val="20"/>
        </w:rPr>
      </w:pPr>
      <w:r>
        <w:rPr>
          <w:rFonts w:ascii="Times New Roman"/>
          <w:noProof/>
          <w:sz w:val="20"/>
        </w:rPr>
        <w:drawing>
          <wp:inline distT="0" distB="0" distL="0" distR="0" wp14:anchorId="3E2D29B4" wp14:editId="3E2D29B5">
            <wp:extent cx="3994105" cy="81210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3994105" cy="812101"/>
                    </a:xfrm>
                    <a:prstGeom prst="rect">
                      <a:avLst/>
                    </a:prstGeom>
                  </pic:spPr>
                </pic:pic>
              </a:graphicData>
            </a:graphic>
          </wp:inline>
        </w:drawing>
      </w:r>
    </w:p>
    <w:p w14:paraId="3E2D2957" w14:textId="77777777" w:rsidR="000A36D0" w:rsidRDefault="000A36D0" w:rsidP="00AB356E">
      <w:pPr>
        <w:pStyle w:val="BodyText"/>
      </w:pPr>
    </w:p>
    <w:p w14:paraId="3E2D2958" w14:textId="77777777" w:rsidR="000A36D0" w:rsidRDefault="00866844" w:rsidP="00204BE9">
      <w:pPr>
        <w:pStyle w:val="Heading1"/>
      </w:pPr>
      <w:r>
        <w:t>Privacy</w:t>
      </w:r>
      <w:r>
        <w:rPr>
          <w:spacing w:val="-3"/>
        </w:rPr>
        <w:t xml:space="preserve"> </w:t>
      </w:r>
      <w:r>
        <w:t>Notice</w:t>
      </w:r>
      <w:r>
        <w:rPr>
          <w:spacing w:val="-3"/>
        </w:rPr>
        <w:t xml:space="preserve"> </w:t>
      </w:r>
      <w:r>
        <w:t>(How</w:t>
      </w:r>
      <w:r>
        <w:rPr>
          <w:spacing w:val="-1"/>
        </w:rPr>
        <w:t xml:space="preserve"> </w:t>
      </w:r>
      <w:r>
        <w:t>we</w:t>
      </w:r>
      <w:r>
        <w:rPr>
          <w:spacing w:val="-2"/>
        </w:rPr>
        <w:t xml:space="preserve"> </w:t>
      </w:r>
      <w:r>
        <w:t>use</w:t>
      </w:r>
      <w:r>
        <w:rPr>
          <w:spacing w:val="-3"/>
        </w:rPr>
        <w:t xml:space="preserve"> </w:t>
      </w:r>
      <w:r>
        <w:t>your</w:t>
      </w:r>
      <w:r>
        <w:rPr>
          <w:spacing w:val="-2"/>
        </w:rPr>
        <w:t xml:space="preserve"> information)</w:t>
      </w:r>
    </w:p>
    <w:p w14:paraId="3E2D2959" w14:textId="77777777" w:rsidR="000A36D0" w:rsidRDefault="000A36D0" w:rsidP="00AB356E">
      <w:pPr>
        <w:pStyle w:val="BodyText"/>
      </w:pPr>
    </w:p>
    <w:p w14:paraId="0CD18509" w14:textId="1A7F9DF7" w:rsidR="00C5232D" w:rsidRDefault="00C5232D" w:rsidP="000E3E2A">
      <w:pPr>
        <w:pStyle w:val="Heading1"/>
        <w:jc w:val="both"/>
      </w:pPr>
      <w:bookmarkStart w:id="0" w:name="Collecting_personal_information"/>
      <w:bookmarkEnd w:id="0"/>
      <w:r>
        <w:t xml:space="preserve">Who </w:t>
      </w:r>
      <w:r w:rsidR="003B21D2">
        <w:t xml:space="preserve">does </w:t>
      </w:r>
      <w:r>
        <w:t xml:space="preserve">this notice </w:t>
      </w:r>
      <w:r w:rsidR="003B21D2">
        <w:t>apply</w:t>
      </w:r>
      <w:r>
        <w:t xml:space="preserve"> to</w:t>
      </w:r>
      <w:r w:rsidR="003B21D2">
        <w:t>?</w:t>
      </w:r>
    </w:p>
    <w:p w14:paraId="5CE94F95" w14:textId="77777777" w:rsidR="00C5232D" w:rsidRDefault="00C5232D" w:rsidP="000E3E2A">
      <w:pPr>
        <w:pStyle w:val="BodyText"/>
        <w:jc w:val="both"/>
      </w:pPr>
      <w:r>
        <w:t>This privacy notice applies to anyone who visits our website, contacts us, or otherwise interacts with Move More. It explains how we collect, use, store, and share personal information across our activities and services.</w:t>
      </w:r>
    </w:p>
    <w:p w14:paraId="6EA1294A" w14:textId="7D9EF27F" w:rsidR="007938D4" w:rsidRDefault="00C5232D" w:rsidP="000E3E2A">
      <w:pPr>
        <w:pStyle w:val="BodyText"/>
        <w:jc w:val="both"/>
      </w:pPr>
      <w:r>
        <w:t>Under data</w:t>
      </w:r>
      <w:r>
        <w:rPr>
          <w:rFonts w:ascii="Cambria Math" w:hAnsi="Cambria Math" w:cs="Cambria Math"/>
        </w:rPr>
        <w:t>‑</w:t>
      </w:r>
      <w:r>
        <w:t>protection law, individuals have a right to be informed about how their personal data is used. We meet this requirement by providing clear and accessible privacy information whenever we process personal data.</w:t>
      </w:r>
    </w:p>
    <w:p w14:paraId="3140208A" w14:textId="77777777" w:rsidR="00193684" w:rsidRDefault="00193684" w:rsidP="000E3E2A">
      <w:pPr>
        <w:pStyle w:val="BodyText"/>
        <w:jc w:val="both"/>
      </w:pPr>
    </w:p>
    <w:p w14:paraId="6AFC8317" w14:textId="2BBCB156" w:rsidR="00193684" w:rsidRDefault="00193684" w:rsidP="000E3E2A">
      <w:pPr>
        <w:pStyle w:val="Heading1"/>
        <w:jc w:val="both"/>
      </w:pPr>
      <w:r>
        <w:t xml:space="preserve">Legal Framework </w:t>
      </w:r>
    </w:p>
    <w:p w14:paraId="3C9F3F46" w14:textId="77BD6049" w:rsidR="00716BF5" w:rsidRDefault="00716BF5" w:rsidP="000E3E2A">
      <w:pPr>
        <w:pStyle w:val="BodyText"/>
        <w:jc w:val="both"/>
      </w:pPr>
      <w:r>
        <w:t>This notice is provided in line with:</w:t>
      </w:r>
    </w:p>
    <w:p w14:paraId="1218FC7F" w14:textId="77777777" w:rsidR="00716BF5" w:rsidRPr="00A10544" w:rsidRDefault="00716BF5" w:rsidP="000E3E2A">
      <w:pPr>
        <w:pStyle w:val="Bullets"/>
        <w:jc w:val="both"/>
      </w:pPr>
      <w:r w:rsidRPr="00A10544">
        <w:t>UK General Data Protection Regulation (UK GDPR)</w:t>
      </w:r>
    </w:p>
    <w:p w14:paraId="639B4896" w14:textId="77777777" w:rsidR="00716BF5" w:rsidRPr="00A10544" w:rsidRDefault="00716BF5" w:rsidP="000E3E2A">
      <w:pPr>
        <w:pStyle w:val="Bullets"/>
        <w:jc w:val="both"/>
      </w:pPr>
      <w:r w:rsidRPr="00A10544">
        <w:t>Data Protection Act 2018</w:t>
      </w:r>
    </w:p>
    <w:p w14:paraId="573C8206" w14:textId="77777777" w:rsidR="00716BF5" w:rsidRPr="00A10544" w:rsidRDefault="00716BF5" w:rsidP="000E3E2A">
      <w:pPr>
        <w:pStyle w:val="Bullets"/>
        <w:jc w:val="both"/>
      </w:pPr>
      <w:r w:rsidRPr="00A10544">
        <w:t>Data Use and Access Act 2025 (DUAA)</w:t>
      </w:r>
    </w:p>
    <w:p w14:paraId="07E45717" w14:textId="77777777" w:rsidR="00D50473" w:rsidRPr="00A10544" w:rsidRDefault="00D50473" w:rsidP="000E3E2A">
      <w:pPr>
        <w:pStyle w:val="Bullets"/>
        <w:numPr>
          <w:ilvl w:val="0"/>
          <w:numId w:val="0"/>
        </w:numPr>
        <w:ind w:left="142"/>
        <w:jc w:val="both"/>
      </w:pPr>
    </w:p>
    <w:p w14:paraId="539BF323" w14:textId="4DEB3FCA" w:rsidR="00716BF5" w:rsidRDefault="00716BF5" w:rsidP="000E3E2A">
      <w:pPr>
        <w:pStyle w:val="BodyText"/>
        <w:jc w:val="both"/>
      </w:pPr>
      <w:r>
        <w:t>Move More is the data controller for the personal data we process.</w:t>
      </w:r>
      <w:r w:rsidR="00D50473">
        <w:t xml:space="preserve"> </w:t>
      </w:r>
      <w:r>
        <w:t>We are registered with the Information Commission</w:t>
      </w:r>
      <w:r w:rsidR="00D50473">
        <w:t xml:space="preserve"> (formerly the Information Commissioner’s Office</w:t>
      </w:r>
      <w:r w:rsidR="00B370A1">
        <w:t>)</w:t>
      </w:r>
      <w:r>
        <w:t>.</w:t>
      </w:r>
      <w:r w:rsidR="00B370A1">
        <w:t xml:space="preserve"> Our </w:t>
      </w:r>
      <w:r>
        <w:t>registration numbe</w:t>
      </w:r>
      <w:r w:rsidR="002A7C8E">
        <w:t>r is</w:t>
      </w:r>
      <w:r>
        <w:t>: ZA500461</w:t>
      </w:r>
    </w:p>
    <w:p w14:paraId="23E44599" w14:textId="77777777" w:rsidR="002A7C8E" w:rsidRDefault="002A7C8E" w:rsidP="000E3E2A">
      <w:pPr>
        <w:pStyle w:val="BodyText"/>
        <w:jc w:val="both"/>
      </w:pPr>
    </w:p>
    <w:p w14:paraId="73F4B627" w14:textId="0C548698" w:rsidR="007938D4" w:rsidRDefault="00716BF5" w:rsidP="000E3E2A">
      <w:pPr>
        <w:pStyle w:val="BodyText"/>
        <w:jc w:val="both"/>
      </w:pPr>
      <w:r>
        <w:t xml:space="preserve">Our </w:t>
      </w:r>
      <w:r w:rsidR="002A7C8E">
        <w:t xml:space="preserve">external </w:t>
      </w:r>
      <w:r>
        <w:t xml:space="preserve">Data Protection Officer (DPO) is provided by The Schools People (see </w:t>
      </w:r>
      <w:r w:rsidR="002A7C8E">
        <w:t>‘</w:t>
      </w:r>
      <w:r>
        <w:t>Contact</w:t>
      </w:r>
      <w:proofErr w:type="gramStart"/>
      <w:r w:rsidR="002A7C8E">
        <w:t>’</w:t>
      </w:r>
      <w:r>
        <w:t xml:space="preserve">  below</w:t>
      </w:r>
      <w:proofErr w:type="gramEnd"/>
      <w:r>
        <w:t>).</w:t>
      </w:r>
    </w:p>
    <w:p w14:paraId="3E2D295C" w14:textId="77777777" w:rsidR="000A36D0" w:rsidRDefault="000A36D0" w:rsidP="000E3E2A">
      <w:pPr>
        <w:pStyle w:val="BodyText"/>
        <w:jc w:val="both"/>
      </w:pPr>
    </w:p>
    <w:p w14:paraId="3E2D295D" w14:textId="66122702" w:rsidR="000A36D0" w:rsidRDefault="00866844" w:rsidP="000E3E2A">
      <w:pPr>
        <w:pStyle w:val="Heading2"/>
        <w:spacing w:before="1"/>
        <w:jc w:val="both"/>
      </w:pPr>
      <w:bookmarkStart w:id="1" w:name="Why_we_collect_and_use_your_information?"/>
      <w:bookmarkEnd w:id="1"/>
      <w:r>
        <w:t>Why</w:t>
      </w:r>
      <w:r>
        <w:rPr>
          <w:spacing w:val="-3"/>
        </w:rPr>
        <w:t xml:space="preserve"> </w:t>
      </w:r>
      <w:proofErr w:type="gramStart"/>
      <w:r>
        <w:t>we</w:t>
      </w:r>
      <w:proofErr w:type="gramEnd"/>
      <w:r>
        <w:rPr>
          <w:spacing w:val="-3"/>
        </w:rPr>
        <w:t xml:space="preserve"> </w:t>
      </w:r>
      <w:r>
        <w:t>collect</w:t>
      </w:r>
      <w:r w:rsidR="009F4F2A">
        <w:t xml:space="preserve"> </w:t>
      </w:r>
      <w:r>
        <w:t>and</w:t>
      </w:r>
      <w:r>
        <w:rPr>
          <w:spacing w:val="-3"/>
        </w:rPr>
        <w:t xml:space="preserve"> </w:t>
      </w:r>
      <w:r>
        <w:t>use</w:t>
      </w:r>
      <w:r>
        <w:rPr>
          <w:spacing w:val="-3"/>
        </w:rPr>
        <w:t xml:space="preserve"> </w:t>
      </w:r>
      <w:r>
        <w:t>your</w:t>
      </w:r>
      <w:r>
        <w:rPr>
          <w:spacing w:val="-2"/>
        </w:rPr>
        <w:t xml:space="preserve"> information?</w:t>
      </w:r>
    </w:p>
    <w:p w14:paraId="339AD5D4" w14:textId="77777777" w:rsidR="00295A75" w:rsidRPr="00295A75" w:rsidRDefault="00295A75" w:rsidP="000E3E2A">
      <w:pPr>
        <w:pStyle w:val="BodyText"/>
        <w:jc w:val="both"/>
        <w:rPr>
          <w:lang w:val="en-GB" w:eastAsia="en-GB"/>
        </w:rPr>
      </w:pPr>
      <w:r w:rsidRPr="00295A75">
        <w:rPr>
          <w:lang w:val="en-GB" w:eastAsia="en-GB"/>
        </w:rPr>
        <w:t>We collect and use personal information to support the lawful operation of Move More and to deliver our programmes and services. In particular, we use personal data to:</w:t>
      </w:r>
    </w:p>
    <w:p w14:paraId="75965F5D" w14:textId="0D0DFEB0" w:rsidR="00C12EB5" w:rsidRPr="00C12EB5" w:rsidRDefault="00C12EB5" w:rsidP="000E3E2A">
      <w:pPr>
        <w:pStyle w:val="Bullets"/>
        <w:jc w:val="both"/>
        <w:rPr>
          <w:lang w:val="en-GB" w:eastAsia="en-GB"/>
        </w:rPr>
      </w:pPr>
      <w:r w:rsidRPr="00C12EB5">
        <w:rPr>
          <w:lang w:val="en-GB" w:eastAsia="en-GB"/>
        </w:rPr>
        <w:t xml:space="preserve">respond to enquiries and communications </w:t>
      </w:r>
    </w:p>
    <w:p w14:paraId="24D56846" w14:textId="761A2413" w:rsidR="00C12EB5" w:rsidRPr="00C12EB5" w:rsidRDefault="00C12EB5" w:rsidP="000E3E2A">
      <w:pPr>
        <w:pStyle w:val="Bullets"/>
        <w:jc w:val="both"/>
        <w:rPr>
          <w:lang w:val="en-GB" w:eastAsia="en-GB"/>
        </w:rPr>
      </w:pPr>
      <w:r w:rsidRPr="00C12EB5">
        <w:rPr>
          <w:lang w:val="en-GB" w:eastAsia="en-GB"/>
        </w:rPr>
        <w:t xml:space="preserve">communicate with participants, families, schools, partners and supporters </w:t>
      </w:r>
    </w:p>
    <w:p w14:paraId="2A0E1814" w14:textId="7F22CE3F" w:rsidR="00C12EB5" w:rsidRPr="00C12EB5" w:rsidRDefault="00C12EB5" w:rsidP="000E3E2A">
      <w:pPr>
        <w:pStyle w:val="Bullets"/>
        <w:jc w:val="both"/>
        <w:rPr>
          <w:lang w:val="en-GB" w:eastAsia="en-GB"/>
        </w:rPr>
      </w:pPr>
      <w:r w:rsidRPr="00C12EB5">
        <w:rPr>
          <w:lang w:val="en-GB" w:eastAsia="en-GB"/>
        </w:rPr>
        <w:t>administer, coordinate and deliver physical</w:t>
      </w:r>
      <w:r w:rsidRPr="00C12EB5">
        <w:rPr>
          <w:lang w:val="en-GB" w:eastAsia="en-GB"/>
        </w:rPr>
        <w:noBreakHyphen/>
        <w:t xml:space="preserve">activity programmes, school services and community initiatives </w:t>
      </w:r>
    </w:p>
    <w:p w14:paraId="79BE7826" w14:textId="111D0BFD" w:rsidR="00C12EB5" w:rsidRPr="00C12EB5" w:rsidRDefault="00C12EB5" w:rsidP="000E3E2A">
      <w:pPr>
        <w:pStyle w:val="Bullets"/>
        <w:jc w:val="both"/>
        <w:rPr>
          <w:lang w:val="en-GB" w:eastAsia="en-GB"/>
        </w:rPr>
      </w:pPr>
      <w:r w:rsidRPr="00C12EB5">
        <w:rPr>
          <w:lang w:val="en-GB" w:eastAsia="en-GB"/>
        </w:rPr>
        <w:t xml:space="preserve">safeguard children, young people and vulnerable adults, and act where we reasonably believe someone may be at risk </w:t>
      </w:r>
    </w:p>
    <w:p w14:paraId="1B14558C" w14:textId="7526958B" w:rsidR="00C12EB5" w:rsidRPr="00C12EB5" w:rsidRDefault="00C12EB5" w:rsidP="000E3E2A">
      <w:pPr>
        <w:pStyle w:val="Bullets"/>
        <w:jc w:val="both"/>
        <w:rPr>
          <w:lang w:val="en-GB" w:eastAsia="en-GB"/>
        </w:rPr>
      </w:pPr>
      <w:r w:rsidRPr="00C12EB5">
        <w:rPr>
          <w:lang w:val="en-GB" w:eastAsia="en-GB"/>
        </w:rPr>
        <w:t xml:space="preserve">meet our legal, statutory and regulatory obligations, including those relating to safeguarding, charity law, financial regulation and data protection law </w:t>
      </w:r>
    </w:p>
    <w:p w14:paraId="7622AC8E" w14:textId="502491A8" w:rsidR="00C12EB5" w:rsidRPr="00C12EB5" w:rsidRDefault="00C12EB5" w:rsidP="000E3E2A">
      <w:pPr>
        <w:pStyle w:val="Bullets"/>
        <w:jc w:val="both"/>
        <w:rPr>
          <w:lang w:val="en-GB" w:eastAsia="en-GB"/>
        </w:rPr>
      </w:pPr>
      <w:r w:rsidRPr="00C12EB5">
        <w:rPr>
          <w:lang w:val="en-GB" w:eastAsia="en-GB"/>
        </w:rPr>
        <w:t xml:space="preserve">process payments, donations, refunds and grants, and manage financial transactions </w:t>
      </w:r>
    </w:p>
    <w:p w14:paraId="2B42B57B" w14:textId="70D833A3" w:rsidR="00C12EB5" w:rsidRPr="00C12EB5" w:rsidRDefault="00C12EB5" w:rsidP="000E3E2A">
      <w:pPr>
        <w:pStyle w:val="Bullets"/>
        <w:jc w:val="both"/>
        <w:rPr>
          <w:lang w:val="en-GB" w:eastAsia="en-GB"/>
        </w:rPr>
      </w:pPr>
      <w:r w:rsidRPr="00C12EB5">
        <w:rPr>
          <w:lang w:val="en-GB" w:eastAsia="en-GB"/>
        </w:rPr>
        <w:t xml:space="preserve">prevent and detect fraud, misuse of services or other unlawful activity </w:t>
      </w:r>
    </w:p>
    <w:p w14:paraId="3938E6C2" w14:textId="7A3C96E2" w:rsidR="00C12EB5" w:rsidRPr="00C12EB5" w:rsidRDefault="00C12EB5" w:rsidP="000E3E2A">
      <w:pPr>
        <w:pStyle w:val="Bullets"/>
        <w:jc w:val="both"/>
        <w:rPr>
          <w:lang w:val="en-GB" w:eastAsia="en-GB"/>
        </w:rPr>
      </w:pPr>
      <w:r w:rsidRPr="00C12EB5">
        <w:rPr>
          <w:lang w:val="en-GB" w:eastAsia="en-GB"/>
        </w:rPr>
        <w:t>share optional updates, opportunities or engagement activities where a lawful basis applies (for example consent or the charitable soft opt</w:t>
      </w:r>
      <w:r w:rsidRPr="00C12EB5">
        <w:rPr>
          <w:lang w:val="en-GB" w:eastAsia="en-GB"/>
        </w:rPr>
        <w:noBreakHyphen/>
        <w:t xml:space="preserve">in) </w:t>
      </w:r>
    </w:p>
    <w:p w14:paraId="56F9675C" w14:textId="45F9142E" w:rsidR="00C12EB5" w:rsidRDefault="00C12EB5" w:rsidP="000E3E2A">
      <w:pPr>
        <w:pStyle w:val="Bullets"/>
        <w:jc w:val="both"/>
        <w:rPr>
          <w:lang w:val="en-GB" w:eastAsia="en-GB"/>
        </w:rPr>
      </w:pPr>
      <w:r w:rsidRPr="00C12EB5">
        <w:rPr>
          <w:lang w:val="en-GB" w:eastAsia="en-GB"/>
        </w:rPr>
        <w:t>disclose information where necessary, proportionate and permitted or required by law (for example to regulators, safeguarding bodies or under a court order)</w:t>
      </w:r>
    </w:p>
    <w:p w14:paraId="2B43D07C" w14:textId="77777777" w:rsidR="00355002" w:rsidRPr="00355002" w:rsidRDefault="00355002" w:rsidP="000E3E2A">
      <w:pPr>
        <w:pStyle w:val="BodyText"/>
        <w:jc w:val="both"/>
        <w:rPr>
          <w:lang w:val="en-GB" w:eastAsia="en-GB"/>
        </w:rPr>
      </w:pPr>
      <w:r w:rsidRPr="00355002">
        <w:rPr>
          <w:lang w:val="en-GB" w:eastAsia="en-GB"/>
        </w:rPr>
        <w:t>We only use personal data in ways that are relevant, necessary and proportionate to our purposes</w:t>
      </w:r>
    </w:p>
    <w:p w14:paraId="5FCE7843" w14:textId="77777777" w:rsidR="00355002" w:rsidRPr="00C12EB5" w:rsidRDefault="00355002" w:rsidP="000E3E2A">
      <w:pPr>
        <w:pStyle w:val="Bullets"/>
        <w:numPr>
          <w:ilvl w:val="0"/>
          <w:numId w:val="0"/>
        </w:numPr>
        <w:ind w:left="862"/>
        <w:jc w:val="both"/>
        <w:rPr>
          <w:lang w:val="en-GB" w:eastAsia="en-GB"/>
        </w:rPr>
      </w:pPr>
    </w:p>
    <w:p w14:paraId="1737DB33" w14:textId="34BB61DB" w:rsidR="0013619F" w:rsidRDefault="0013619F" w:rsidP="000E3E2A">
      <w:pPr>
        <w:pStyle w:val="BodyText"/>
        <w:jc w:val="both"/>
      </w:pPr>
    </w:p>
    <w:p w14:paraId="700B8930" w14:textId="77777777" w:rsidR="0013619F" w:rsidRDefault="0013619F" w:rsidP="000E3E2A">
      <w:pPr>
        <w:pStyle w:val="Heading1"/>
        <w:jc w:val="both"/>
      </w:pPr>
      <w:r>
        <w:t>The types of personal information we collect</w:t>
      </w:r>
    </w:p>
    <w:p w14:paraId="059AF824" w14:textId="77777777" w:rsidR="0013619F" w:rsidRDefault="0013619F" w:rsidP="000E3E2A">
      <w:pPr>
        <w:pStyle w:val="BodyText"/>
        <w:jc w:val="both"/>
      </w:pPr>
      <w:r>
        <w:t>The information we collect depends on how you engage with us and may include:</w:t>
      </w:r>
    </w:p>
    <w:p w14:paraId="252E40BE" w14:textId="77777777" w:rsidR="0013619F" w:rsidRDefault="0013619F" w:rsidP="000E3E2A">
      <w:pPr>
        <w:pStyle w:val="BodyText"/>
        <w:jc w:val="both"/>
      </w:pPr>
    </w:p>
    <w:p w14:paraId="7A766D52" w14:textId="77777777" w:rsidR="0013619F" w:rsidRDefault="0013619F" w:rsidP="000E3E2A">
      <w:pPr>
        <w:pStyle w:val="Bullets"/>
        <w:jc w:val="both"/>
      </w:pPr>
      <w:r>
        <w:t>Contact details and enquiry information</w:t>
      </w:r>
    </w:p>
    <w:p w14:paraId="2C4CDAC0" w14:textId="77777777" w:rsidR="0013619F" w:rsidRDefault="0013619F" w:rsidP="000E3E2A">
      <w:pPr>
        <w:pStyle w:val="Bullets"/>
        <w:jc w:val="both"/>
      </w:pPr>
      <w:r>
        <w:lastRenderedPageBreak/>
        <w:t>Programme participation and service</w:t>
      </w:r>
      <w:r>
        <w:rPr>
          <w:rFonts w:ascii="Cambria Math" w:hAnsi="Cambria Math" w:cs="Cambria Math"/>
        </w:rPr>
        <w:t>‑</w:t>
      </w:r>
      <w:r>
        <w:t>delivery information</w:t>
      </w:r>
    </w:p>
    <w:p w14:paraId="1B70CA40" w14:textId="77777777" w:rsidR="0013619F" w:rsidRDefault="0013619F" w:rsidP="000E3E2A">
      <w:pPr>
        <w:pStyle w:val="Bullets"/>
        <w:jc w:val="both"/>
      </w:pPr>
      <w:r>
        <w:t>Safeguarding and wellbeing information</w:t>
      </w:r>
    </w:p>
    <w:p w14:paraId="510BAC33" w14:textId="77777777" w:rsidR="0013619F" w:rsidRDefault="0013619F" w:rsidP="000E3E2A">
      <w:pPr>
        <w:pStyle w:val="Bullets"/>
        <w:jc w:val="both"/>
      </w:pPr>
      <w:r>
        <w:t>Financial and transactional information (including donations, payments or grants)</w:t>
      </w:r>
    </w:p>
    <w:p w14:paraId="2CC2E437" w14:textId="135D97AE" w:rsidR="0013619F" w:rsidRDefault="0013619F" w:rsidP="000E3E2A">
      <w:pPr>
        <w:pStyle w:val="BodyText"/>
        <w:jc w:val="both"/>
      </w:pPr>
      <w:r>
        <w:t xml:space="preserve">Some information may be special </w:t>
      </w:r>
      <w:proofErr w:type="gramStart"/>
      <w:r>
        <w:t>category data</w:t>
      </w:r>
      <w:proofErr w:type="gramEnd"/>
      <w:r>
        <w:t>, such as health, disability or SEN information. This data is handled with enhanced safeguards.</w:t>
      </w:r>
    </w:p>
    <w:p w14:paraId="15AB4E8C" w14:textId="77777777" w:rsidR="00811585" w:rsidRDefault="00811585" w:rsidP="000E3E2A">
      <w:pPr>
        <w:pStyle w:val="BodyText"/>
        <w:jc w:val="both"/>
      </w:pPr>
    </w:p>
    <w:p w14:paraId="462F2D9D" w14:textId="77777777" w:rsidR="00811585" w:rsidRDefault="00811585" w:rsidP="000E3E2A">
      <w:pPr>
        <w:pStyle w:val="Heading1"/>
        <w:jc w:val="both"/>
      </w:pPr>
      <w:r>
        <w:t>How we collect personal data</w:t>
      </w:r>
    </w:p>
    <w:p w14:paraId="1AF5CCC2" w14:textId="77777777" w:rsidR="00811585" w:rsidRDefault="00811585" w:rsidP="000E3E2A">
      <w:pPr>
        <w:pStyle w:val="BodyText"/>
        <w:jc w:val="both"/>
      </w:pPr>
      <w:r>
        <w:t>We collect personal data:</w:t>
      </w:r>
    </w:p>
    <w:p w14:paraId="066E1A33" w14:textId="6AEE9D60" w:rsidR="00811585" w:rsidRDefault="00811585" w:rsidP="000E3E2A">
      <w:pPr>
        <w:pStyle w:val="Bullets"/>
        <w:jc w:val="both"/>
      </w:pPr>
      <w:r>
        <w:t>Directly from you (for example through enquiries, registrations, or communications)</w:t>
      </w:r>
    </w:p>
    <w:p w14:paraId="48EFD012" w14:textId="407F33FC" w:rsidR="00811585" w:rsidRDefault="00811585" w:rsidP="000E3E2A">
      <w:pPr>
        <w:pStyle w:val="Bullets"/>
        <w:jc w:val="both"/>
      </w:pPr>
      <w:r>
        <w:t>During programme delivery, school</w:t>
      </w:r>
      <w:r>
        <w:rPr>
          <w:rFonts w:ascii="Cambria Math" w:hAnsi="Cambria Math" w:cs="Cambria Math"/>
        </w:rPr>
        <w:t>‑</w:t>
      </w:r>
      <w:r>
        <w:t>based activities</w:t>
      </w:r>
      <w:r w:rsidR="008E6F2F">
        <w:t>,</w:t>
      </w:r>
      <w:r>
        <w:t xml:space="preserve"> or community initiatives</w:t>
      </w:r>
    </w:p>
    <w:p w14:paraId="330E2F90" w14:textId="77777777" w:rsidR="00811585" w:rsidRDefault="00811585" w:rsidP="000E3E2A">
      <w:pPr>
        <w:pStyle w:val="Bullets"/>
        <w:jc w:val="both"/>
      </w:pPr>
      <w:r>
        <w:t>When safeguarding concerns arise</w:t>
      </w:r>
    </w:p>
    <w:p w14:paraId="424365CE" w14:textId="77777777" w:rsidR="00811585" w:rsidRDefault="00811585" w:rsidP="000E3E2A">
      <w:pPr>
        <w:pStyle w:val="Bullets"/>
        <w:jc w:val="both"/>
      </w:pPr>
      <w:r>
        <w:t>When processing financial transactions</w:t>
      </w:r>
    </w:p>
    <w:p w14:paraId="239C504A" w14:textId="2EA5560C" w:rsidR="00811585" w:rsidRPr="00400AD8" w:rsidRDefault="00811585" w:rsidP="000E3E2A">
      <w:pPr>
        <w:pStyle w:val="Bullets"/>
        <w:jc w:val="both"/>
      </w:pPr>
      <w:r>
        <w:t>From third</w:t>
      </w:r>
      <w:r>
        <w:rPr>
          <w:rFonts w:ascii="Cambria Math" w:hAnsi="Cambria Math" w:cs="Cambria Math"/>
        </w:rPr>
        <w:t>‑</w:t>
      </w:r>
      <w:r>
        <w:t>party sources such as schools, delivery partners, funders or safeguarding agencies where necessary and lawful</w:t>
      </w:r>
    </w:p>
    <w:p w14:paraId="3E2D296A" w14:textId="77777777" w:rsidR="000A36D0" w:rsidRPr="0038286D" w:rsidRDefault="000A36D0" w:rsidP="000E3E2A">
      <w:pPr>
        <w:pStyle w:val="BodyText"/>
        <w:jc w:val="both"/>
      </w:pPr>
    </w:p>
    <w:p w14:paraId="2854CF51" w14:textId="77777777" w:rsidR="008E3CB0" w:rsidRPr="008E3CB0" w:rsidRDefault="008E3CB0" w:rsidP="000E3E2A">
      <w:pPr>
        <w:pStyle w:val="BodyText"/>
        <w:jc w:val="both"/>
        <w:rPr>
          <w:sz w:val="36"/>
          <w:szCs w:val="36"/>
          <w:lang w:val="en-GB"/>
        </w:rPr>
      </w:pPr>
      <w:r w:rsidRPr="008E3CB0">
        <w:rPr>
          <w:sz w:val="36"/>
          <w:szCs w:val="36"/>
          <w:lang w:val="en-GB"/>
        </w:rPr>
        <w:t>Lawful bases for processing</w:t>
      </w:r>
    </w:p>
    <w:p w14:paraId="719DFF4F" w14:textId="77777777" w:rsidR="00F87CC5" w:rsidRPr="00F87CC5" w:rsidRDefault="00F87CC5" w:rsidP="000E3E2A">
      <w:pPr>
        <w:pStyle w:val="BodyText"/>
        <w:jc w:val="both"/>
        <w:rPr>
          <w:lang w:val="en-GB"/>
        </w:rPr>
      </w:pPr>
      <w:r w:rsidRPr="00F87CC5">
        <w:rPr>
          <w:lang w:val="en-GB"/>
        </w:rPr>
        <w:t>We only process personal data where a lawful basis applies. These include:</w:t>
      </w:r>
    </w:p>
    <w:p w14:paraId="55585BEE" w14:textId="77777777" w:rsidR="00F87CC5" w:rsidRPr="000E3E2A" w:rsidRDefault="00F87CC5" w:rsidP="000E3E2A">
      <w:pPr>
        <w:pStyle w:val="Bullets"/>
        <w:jc w:val="both"/>
      </w:pPr>
      <w:r w:rsidRPr="000E3E2A">
        <w:t>Contract – where processing is necessary to deliver requested services</w:t>
      </w:r>
    </w:p>
    <w:p w14:paraId="39CB9865" w14:textId="77777777" w:rsidR="00F87CC5" w:rsidRPr="000E3E2A" w:rsidRDefault="00F87CC5" w:rsidP="000E3E2A">
      <w:pPr>
        <w:pStyle w:val="Bullets"/>
        <w:jc w:val="both"/>
      </w:pPr>
      <w:r w:rsidRPr="000E3E2A">
        <w:t>Legal obligation – where required by law (including safeguarding and charity law)</w:t>
      </w:r>
    </w:p>
    <w:p w14:paraId="52A239D9" w14:textId="77777777" w:rsidR="00F87CC5" w:rsidRPr="000E3E2A" w:rsidRDefault="00F87CC5" w:rsidP="000E3E2A">
      <w:pPr>
        <w:pStyle w:val="Bullets"/>
        <w:jc w:val="both"/>
      </w:pPr>
      <w:r w:rsidRPr="000E3E2A">
        <w:t>Vital interests – where necessary to protect life or prevent serious harm</w:t>
      </w:r>
    </w:p>
    <w:p w14:paraId="34922DE6" w14:textId="77777777" w:rsidR="00F87CC5" w:rsidRPr="000E3E2A" w:rsidRDefault="00F87CC5" w:rsidP="000E3E2A">
      <w:pPr>
        <w:pStyle w:val="Bullets"/>
        <w:jc w:val="both"/>
      </w:pPr>
      <w:r w:rsidRPr="000E3E2A">
        <w:t>Public task – where delivering services on behalf of a public authority</w:t>
      </w:r>
    </w:p>
    <w:p w14:paraId="66F791E4" w14:textId="77777777" w:rsidR="00F87CC5" w:rsidRPr="000E3E2A" w:rsidRDefault="00F87CC5" w:rsidP="000E3E2A">
      <w:pPr>
        <w:pStyle w:val="Bullets"/>
        <w:jc w:val="both"/>
      </w:pPr>
      <w:r w:rsidRPr="000E3E2A">
        <w:t>Legitimate interests – where processing is necessary for the organisation’s effective, secure and lawful operation, and does not override individual rights</w:t>
      </w:r>
    </w:p>
    <w:p w14:paraId="530E43CB" w14:textId="77777777" w:rsidR="00A10544" w:rsidRDefault="00A10544" w:rsidP="000E3E2A">
      <w:pPr>
        <w:pStyle w:val="BodyText"/>
        <w:jc w:val="both"/>
        <w:rPr>
          <w:b/>
          <w:bCs/>
          <w:lang w:val="en-GB"/>
        </w:rPr>
      </w:pPr>
    </w:p>
    <w:p w14:paraId="42A4C0A7" w14:textId="32C88E77" w:rsidR="00F87CC5" w:rsidRPr="00F87CC5" w:rsidRDefault="00F87CC5" w:rsidP="000E3E2A">
      <w:pPr>
        <w:pStyle w:val="BodyText"/>
        <w:jc w:val="both"/>
        <w:rPr>
          <w:b/>
          <w:bCs/>
          <w:lang w:val="en-GB"/>
        </w:rPr>
      </w:pPr>
      <w:r w:rsidRPr="00F87CC5">
        <w:rPr>
          <w:b/>
          <w:bCs/>
          <w:lang w:val="en-GB"/>
        </w:rPr>
        <w:t>Charitable purpose soft opt</w:t>
      </w:r>
      <w:r w:rsidRPr="00F87CC5">
        <w:rPr>
          <w:b/>
          <w:bCs/>
          <w:lang w:val="en-GB"/>
        </w:rPr>
        <w:noBreakHyphen/>
        <w:t>in (from 5 February 2026)</w:t>
      </w:r>
    </w:p>
    <w:p w14:paraId="457FA4EE" w14:textId="77777777" w:rsidR="00F87CC5" w:rsidRPr="00F87CC5" w:rsidRDefault="00F87CC5" w:rsidP="000E3E2A">
      <w:pPr>
        <w:pStyle w:val="BodyText"/>
        <w:jc w:val="both"/>
        <w:rPr>
          <w:lang w:val="en-GB"/>
        </w:rPr>
      </w:pPr>
      <w:r w:rsidRPr="00F87CC5">
        <w:rPr>
          <w:lang w:val="en-GB"/>
        </w:rPr>
        <w:t xml:space="preserve">Where permitted by PECR (as amended by the DUAA 2025), we may send electronic communications without prior explicit consent </w:t>
      </w:r>
      <w:r w:rsidRPr="00F87CC5">
        <w:rPr>
          <w:b/>
          <w:bCs/>
          <w:lang w:val="en-GB"/>
        </w:rPr>
        <w:t>only</w:t>
      </w:r>
      <w:r w:rsidRPr="00F87CC5">
        <w:rPr>
          <w:lang w:val="en-GB"/>
        </w:rPr>
        <w:t xml:space="preserve"> where:</w:t>
      </w:r>
    </w:p>
    <w:p w14:paraId="4CE70545" w14:textId="77777777" w:rsidR="00F87CC5" w:rsidRPr="00F87CC5" w:rsidRDefault="00F87CC5" w:rsidP="000E3E2A">
      <w:pPr>
        <w:pStyle w:val="Bullets"/>
        <w:jc w:val="both"/>
        <w:rPr>
          <w:lang w:val="en-GB"/>
        </w:rPr>
      </w:pPr>
      <w:r w:rsidRPr="00F87CC5">
        <w:rPr>
          <w:lang w:val="en-GB"/>
        </w:rPr>
        <w:t>The communication solely furthers our charitable purposes</w:t>
      </w:r>
    </w:p>
    <w:p w14:paraId="55C1F47E" w14:textId="77777777" w:rsidR="00F87CC5" w:rsidRPr="00F87CC5" w:rsidRDefault="00F87CC5" w:rsidP="000E3E2A">
      <w:pPr>
        <w:pStyle w:val="Bullets"/>
        <w:jc w:val="both"/>
        <w:rPr>
          <w:lang w:val="en-GB"/>
        </w:rPr>
      </w:pPr>
      <w:r w:rsidRPr="00F87CC5">
        <w:rPr>
          <w:lang w:val="en-GB"/>
        </w:rPr>
        <w:t>Contact details were provided when an individual showed interest or offered support</w:t>
      </w:r>
    </w:p>
    <w:p w14:paraId="0CCD6A1B" w14:textId="77777777" w:rsidR="00F87CC5" w:rsidRPr="00F87CC5" w:rsidRDefault="00F87CC5" w:rsidP="000E3E2A">
      <w:pPr>
        <w:pStyle w:val="Bullets"/>
        <w:jc w:val="both"/>
        <w:rPr>
          <w:lang w:val="en-GB"/>
        </w:rPr>
      </w:pPr>
      <w:r w:rsidRPr="00F87CC5">
        <w:rPr>
          <w:lang w:val="en-GB"/>
        </w:rPr>
        <w:t>A clear opt</w:t>
      </w:r>
      <w:r w:rsidRPr="00F87CC5">
        <w:rPr>
          <w:lang w:val="en-GB"/>
        </w:rPr>
        <w:noBreakHyphen/>
        <w:t>out was provided at collection and in every message</w:t>
      </w:r>
    </w:p>
    <w:p w14:paraId="3F6C499A" w14:textId="77777777" w:rsidR="00F87CC5" w:rsidRDefault="00F87CC5" w:rsidP="000E3E2A">
      <w:pPr>
        <w:pStyle w:val="BodyText"/>
        <w:jc w:val="both"/>
        <w:rPr>
          <w:lang w:val="en-GB"/>
        </w:rPr>
      </w:pPr>
      <w:r w:rsidRPr="00F87CC5">
        <w:rPr>
          <w:lang w:val="en-GB"/>
        </w:rPr>
        <w:t xml:space="preserve">We do </w:t>
      </w:r>
      <w:r w:rsidRPr="00F87CC5">
        <w:rPr>
          <w:b/>
          <w:bCs/>
          <w:lang w:val="en-GB"/>
        </w:rPr>
        <w:t>not</w:t>
      </w:r>
      <w:r w:rsidRPr="00F87CC5">
        <w:rPr>
          <w:lang w:val="en-GB"/>
        </w:rPr>
        <w:t xml:space="preserve"> apply the soft opt</w:t>
      </w:r>
      <w:r w:rsidRPr="00F87CC5">
        <w:rPr>
          <w:lang w:val="en-GB"/>
        </w:rPr>
        <w:noBreakHyphen/>
        <w:t>in retrospectively and maintain separate consent</w:t>
      </w:r>
      <w:r w:rsidRPr="00F87CC5">
        <w:rPr>
          <w:lang w:val="en-GB"/>
        </w:rPr>
        <w:noBreakHyphen/>
        <w:t>based contact lists.</w:t>
      </w:r>
    </w:p>
    <w:p w14:paraId="14277595" w14:textId="77777777" w:rsidR="00540851" w:rsidRDefault="00540851" w:rsidP="000E3E2A">
      <w:pPr>
        <w:pStyle w:val="Heading1"/>
        <w:jc w:val="both"/>
        <w:rPr>
          <w:lang w:val="en-GB"/>
        </w:rPr>
      </w:pPr>
    </w:p>
    <w:p w14:paraId="30F029B3" w14:textId="77777777" w:rsidR="00945C62" w:rsidRPr="000E3E2A" w:rsidRDefault="00945C62" w:rsidP="000E3E2A">
      <w:pPr>
        <w:pStyle w:val="BodyText"/>
        <w:jc w:val="both"/>
        <w:rPr>
          <w:sz w:val="36"/>
          <w:szCs w:val="36"/>
          <w:lang w:val="en-GB"/>
        </w:rPr>
      </w:pPr>
      <w:r w:rsidRPr="000E3E2A">
        <w:rPr>
          <w:sz w:val="36"/>
          <w:szCs w:val="36"/>
          <w:lang w:val="en-GB"/>
        </w:rPr>
        <w:t>Special category data</w:t>
      </w:r>
    </w:p>
    <w:p w14:paraId="4AB0D153" w14:textId="77777777" w:rsidR="00082AC1" w:rsidRPr="00082AC1" w:rsidRDefault="00082AC1" w:rsidP="000E3E2A">
      <w:pPr>
        <w:pStyle w:val="BodyText"/>
        <w:jc w:val="both"/>
        <w:rPr>
          <w:lang w:val="en-GB" w:eastAsia="en-GB"/>
        </w:rPr>
      </w:pPr>
      <w:r w:rsidRPr="00082AC1">
        <w:rPr>
          <w:lang w:val="en-GB" w:eastAsia="en-GB"/>
        </w:rPr>
        <w:t>Where we process special category data (such as health or disability information), we ensure:</w:t>
      </w:r>
    </w:p>
    <w:p w14:paraId="7C5B284D" w14:textId="77777777" w:rsidR="00082AC1" w:rsidRPr="00082AC1" w:rsidRDefault="00082AC1" w:rsidP="000E3E2A">
      <w:pPr>
        <w:pStyle w:val="Bullets"/>
        <w:jc w:val="both"/>
        <w:rPr>
          <w:lang w:val="en-GB" w:eastAsia="en-GB"/>
        </w:rPr>
      </w:pPr>
      <w:r w:rsidRPr="00082AC1">
        <w:rPr>
          <w:lang w:val="en-GB" w:eastAsia="en-GB"/>
        </w:rPr>
        <w:t>A valid Article 9 UK GDPR condition applies</w:t>
      </w:r>
    </w:p>
    <w:p w14:paraId="5026194B" w14:textId="77777777" w:rsidR="00082AC1" w:rsidRPr="00082AC1" w:rsidRDefault="00082AC1" w:rsidP="000E3E2A">
      <w:pPr>
        <w:pStyle w:val="Bullets"/>
        <w:jc w:val="both"/>
        <w:rPr>
          <w:lang w:val="en-GB" w:eastAsia="en-GB"/>
        </w:rPr>
      </w:pPr>
      <w:r w:rsidRPr="00082AC1">
        <w:rPr>
          <w:lang w:val="en-GB" w:eastAsia="en-GB"/>
        </w:rPr>
        <w:t>Appropriate safeguards are in place</w:t>
      </w:r>
    </w:p>
    <w:p w14:paraId="60A52DE2" w14:textId="77777777" w:rsidR="00082AC1" w:rsidRPr="00082AC1" w:rsidRDefault="00082AC1" w:rsidP="000E3E2A">
      <w:pPr>
        <w:pStyle w:val="BodyText"/>
        <w:jc w:val="both"/>
        <w:rPr>
          <w:lang w:val="en-GB" w:eastAsia="en-GB"/>
        </w:rPr>
      </w:pPr>
      <w:r w:rsidRPr="00082AC1">
        <w:rPr>
          <w:lang w:val="en-GB" w:eastAsia="en-GB"/>
        </w:rPr>
        <w:t>We generally rely on substantial public interest (including safeguarding), vital interests, public health or explicit consent where required.</w:t>
      </w:r>
    </w:p>
    <w:p w14:paraId="1D660B50" w14:textId="77777777" w:rsidR="00082AC1" w:rsidRPr="00F87CC5" w:rsidRDefault="00082AC1" w:rsidP="000E3E2A">
      <w:pPr>
        <w:pStyle w:val="BodyText"/>
        <w:jc w:val="both"/>
        <w:rPr>
          <w:lang w:val="en-GB"/>
        </w:rPr>
      </w:pPr>
    </w:p>
    <w:p w14:paraId="2A6ECFAE" w14:textId="77777777" w:rsidR="00E63A79" w:rsidRPr="00E63A79" w:rsidRDefault="00E63A79" w:rsidP="000E3E2A">
      <w:pPr>
        <w:pStyle w:val="Heading1"/>
        <w:jc w:val="both"/>
        <w:rPr>
          <w:lang w:val="en-GB"/>
        </w:rPr>
      </w:pPr>
      <w:r w:rsidRPr="00E63A79">
        <w:rPr>
          <w:lang w:val="en-GB"/>
        </w:rPr>
        <w:t>Consent</w:t>
      </w:r>
    </w:p>
    <w:p w14:paraId="1CD033A9" w14:textId="77777777" w:rsidR="000669D2" w:rsidRPr="000669D2" w:rsidRDefault="000669D2" w:rsidP="000E3E2A">
      <w:pPr>
        <w:pStyle w:val="BodyText"/>
        <w:jc w:val="both"/>
      </w:pPr>
      <w:r w:rsidRPr="000669D2">
        <w:t>We do not usually rely on consent as a lawful basis, except for:</w:t>
      </w:r>
    </w:p>
    <w:p w14:paraId="00AAE28C" w14:textId="77777777" w:rsidR="000669D2" w:rsidRPr="000669D2" w:rsidRDefault="000669D2" w:rsidP="000E3E2A">
      <w:pPr>
        <w:pStyle w:val="Bullets"/>
        <w:jc w:val="both"/>
      </w:pPr>
      <w:r w:rsidRPr="000669D2">
        <w:t>Direct marketing</w:t>
      </w:r>
    </w:p>
    <w:p w14:paraId="36C1CBEF" w14:textId="77777777" w:rsidR="000669D2" w:rsidRPr="000669D2" w:rsidRDefault="000669D2" w:rsidP="000E3E2A">
      <w:pPr>
        <w:pStyle w:val="Bullets"/>
        <w:jc w:val="both"/>
      </w:pPr>
      <w:r w:rsidRPr="000669D2">
        <w:t>Certain optional or sensitive activities</w:t>
      </w:r>
    </w:p>
    <w:p w14:paraId="0EEF86FB" w14:textId="54C9ACC3" w:rsidR="00C17281" w:rsidRDefault="000669D2" w:rsidP="000E3E2A">
      <w:pPr>
        <w:pStyle w:val="BodyText"/>
        <w:jc w:val="both"/>
      </w:pPr>
      <w:r w:rsidRPr="000669D2">
        <w:t xml:space="preserve">Where consent is used, it may be withdrawn </w:t>
      </w:r>
      <w:r>
        <w:t xml:space="preserve">in writing </w:t>
      </w:r>
      <w:r w:rsidRPr="000669D2">
        <w:t xml:space="preserve">at any time. Withdrawal does not affect </w:t>
      </w:r>
      <w:r w:rsidR="00691986">
        <w:t xml:space="preserve">the legitimacy of </w:t>
      </w:r>
      <w:r w:rsidR="003B21D2" w:rsidRPr="000669D2">
        <w:t>processing,</w:t>
      </w:r>
      <w:r w:rsidRPr="000669D2">
        <w:t xml:space="preserve"> already carried </w:t>
      </w:r>
      <w:r w:rsidR="003B21D2">
        <w:t xml:space="preserve">out </w:t>
      </w:r>
      <w:r w:rsidR="00691986">
        <w:t>up to the point of withdrawal.</w:t>
      </w:r>
    </w:p>
    <w:p w14:paraId="35D0E3D0" w14:textId="77777777" w:rsidR="00C17281" w:rsidRDefault="00C17281" w:rsidP="000E3E2A">
      <w:pPr>
        <w:pStyle w:val="BodyText"/>
        <w:jc w:val="both"/>
      </w:pPr>
    </w:p>
    <w:p w14:paraId="74DD93B6" w14:textId="2F14B867" w:rsidR="00717F10" w:rsidRDefault="00717F10" w:rsidP="000E3E2A">
      <w:pPr>
        <w:pStyle w:val="Heading1"/>
        <w:jc w:val="both"/>
      </w:pPr>
      <w:r w:rsidRPr="00717F10">
        <w:t>How we protect and retain your data</w:t>
      </w:r>
      <w:r w:rsidR="000669D2" w:rsidRPr="000669D2">
        <w:t>.</w:t>
      </w:r>
    </w:p>
    <w:p w14:paraId="16A93850" w14:textId="77777777" w:rsidR="00612031" w:rsidRPr="00612031" w:rsidRDefault="00612031" w:rsidP="000E3E2A">
      <w:pPr>
        <w:pStyle w:val="BodyText"/>
        <w:jc w:val="both"/>
        <w:rPr>
          <w:lang w:val="en-GB"/>
        </w:rPr>
      </w:pPr>
      <w:r w:rsidRPr="00612031">
        <w:rPr>
          <w:lang w:val="en-GB"/>
        </w:rPr>
        <w:t>We:</w:t>
      </w:r>
    </w:p>
    <w:p w14:paraId="74E21593" w14:textId="77777777" w:rsidR="00612031" w:rsidRPr="00612031" w:rsidRDefault="00612031" w:rsidP="000E3E2A">
      <w:pPr>
        <w:pStyle w:val="Bullets"/>
        <w:jc w:val="both"/>
        <w:rPr>
          <w:lang w:val="en-GB"/>
        </w:rPr>
      </w:pPr>
      <w:r w:rsidRPr="00612031">
        <w:rPr>
          <w:lang w:val="en-GB"/>
        </w:rPr>
        <w:t>Store personal information securely</w:t>
      </w:r>
    </w:p>
    <w:p w14:paraId="2062914E" w14:textId="2A63B3DF" w:rsidR="00612031" w:rsidRPr="00612031" w:rsidRDefault="00612031" w:rsidP="000E3E2A">
      <w:pPr>
        <w:pStyle w:val="Bullets"/>
        <w:jc w:val="both"/>
        <w:rPr>
          <w:lang w:val="en-GB"/>
        </w:rPr>
      </w:pPr>
      <w:r w:rsidRPr="00612031">
        <w:rPr>
          <w:lang w:val="en-GB"/>
        </w:rPr>
        <w:t xml:space="preserve">Limit access to </w:t>
      </w:r>
      <w:r w:rsidR="005A01B5">
        <w:rPr>
          <w:lang w:val="en-GB"/>
        </w:rPr>
        <w:t xml:space="preserve">authorised staff </w:t>
      </w:r>
      <w:r w:rsidRPr="00612031">
        <w:rPr>
          <w:lang w:val="en-GB"/>
        </w:rPr>
        <w:t>with a genuine business need</w:t>
      </w:r>
    </w:p>
    <w:p w14:paraId="006D1C34" w14:textId="77777777" w:rsidR="00612031" w:rsidRPr="00612031" w:rsidRDefault="00612031" w:rsidP="000E3E2A">
      <w:pPr>
        <w:pStyle w:val="Bullets"/>
        <w:jc w:val="both"/>
        <w:rPr>
          <w:lang w:val="en-GB"/>
        </w:rPr>
      </w:pPr>
      <w:r w:rsidRPr="00612031">
        <w:rPr>
          <w:lang w:val="en-GB"/>
        </w:rPr>
        <w:lastRenderedPageBreak/>
        <w:t>Apply enhanced protections for children’s data</w:t>
      </w:r>
    </w:p>
    <w:p w14:paraId="74DFB993" w14:textId="77777777" w:rsidR="00612031" w:rsidRPr="00612031" w:rsidRDefault="00612031" w:rsidP="000E3E2A">
      <w:pPr>
        <w:pStyle w:val="Bullets"/>
        <w:jc w:val="both"/>
        <w:rPr>
          <w:lang w:val="en-GB"/>
        </w:rPr>
      </w:pPr>
      <w:r w:rsidRPr="00612031">
        <w:rPr>
          <w:lang w:val="en-GB"/>
        </w:rPr>
        <w:t>Retain data only as long as necessary and in line with our retention schedule</w:t>
      </w:r>
    </w:p>
    <w:p w14:paraId="45DF2F91" w14:textId="77777777" w:rsidR="00612031" w:rsidRPr="00612031" w:rsidRDefault="00612031" w:rsidP="000E3E2A">
      <w:pPr>
        <w:pStyle w:val="Bullets"/>
        <w:jc w:val="both"/>
        <w:rPr>
          <w:lang w:val="en-GB"/>
        </w:rPr>
      </w:pPr>
      <w:r w:rsidRPr="00612031">
        <w:rPr>
          <w:lang w:val="en-GB"/>
        </w:rPr>
        <w:t>Have procedures for managing and reporting data breaches</w:t>
      </w:r>
    </w:p>
    <w:p w14:paraId="431125A6" w14:textId="77777777" w:rsidR="00612031" w:rsidRDefault="00612031" w:rsidP="000E3E2A">
      <w:pPr>
        <w:pStyle w:val="BodyText"/>
        <w:jc w:val="both"/>
      </w:pPr>
    </w:p>
    <w:p w14:paraId="14DD69AE" w14:textId="77777777" w:rsidR="00030B4D" w:rsidRPr="00030B4D" w:rsidRDefault="00030B4D" w:rsidP="000E3E2A">
      <w:pPr>
        <w:pStyle w:val="Heading1"/>
        <w:jc w:val="both"/>
        <w:rPr>
          <w:lang w:val="en-GB" w:eastAsia="en-GB"/>
        </w:rPr>
      </w:pPr>
      <w:r w:rsidRPr="00030B4D">
        <w:rPr>
          <w:lang w:val="en-GB" w:eastAsia="en-GB"/>
        </w:rPr>
        <w:t>Sharing personal data</w:t>
      </w:r>
    </w:p>
    <w:p w14:paraId="14ABB208" w14:textId="77777777" w:rsidR="00D37A68" w:rsidRDefault="000015FC" w:rsidP="000E3E2A">
      <w:pPr>
        <w:pStyle w:val="BodyText"/>
        <w:jc w:val="both"/>
        <w:rPr>
          <w:lang w:val="en-GB" w:eastAsia="en-GB"/>
        </w:rPr>
      </w:pPr>
      <w:r w:rsidRPr="000015FC">
        <w:rPr>
          <w:lang w:val="en-GB" w:eastAsia="en-GB"/>
        </w:rPr>
        <w:t xml:space="preserve">We may share personal data </w:t>
      </w:r>
      <w:r w:rsidR="00784DA1">
        <w:rPr>
          <w:lang w:val="en-GB" w:eastAsia="en-GB"/>
        </w:rPr>
        <w:t xml:space="preserve">where sharing is relevant, necessary, </w:t>
      </w:r>
      <w:r w:rsidR="000E1781">
        <w:rPr>
          <w:lang w:val="en-GB" w:eastAsia="en-GB"/>
        </w:rPr>
        <w:t>p</w:t>
      </w:r>
      <w:r w:rsidR="00784DA1">
        <w:rPr>
          <w:lang w:val="en-GB" w:eastAsia="en-GB"/>
        </w:rPr>
        <w:t>roportionate and lawful</w:t>
      </w:r>
      <w:r w:rsidR="00D37A68">
        <w:rPr>
          <w:lang w:val="en-GB" w:eastAsia="en-GB"/>
        </w:rPr>
        <w:t>,</w:t>
      </w:r>
      <w:r w:rsidR="00784DA1">
        <w:rPr>
          <w:lang w:val="en-GB" w:eastAsia="en-GB"/>
        </w:rPr>
        <w:t xml:space="preserve"> </w:t>
      </w:r>
      <w:r w:rsidR="0017399E">
        <w:rPr>
          <w:lang w:val="en-GB" w:eastAsia="en-GB"/>
        </w:rPr>
        <w:t xml:space="preserve">and only for purposes </w:t>
      </w:r>
      <w:r w:rsidR="00D37A68">
        <w:rPr>
          <w:lang w:val="en-GB" w:eastAsia="en-GB"/>
        </w:rPr>
        <w:t>outlined</w:t>
      </w:r>
      <w:r w:rsidR="0017399E">
        <w:rPr>
          <w:lang w:val="en-GB" w:eastAsia="en-GB"/>
        </w:rPr>
        <w:t xml:space="preserve"> in th</w:t>
      </w:r>
      <w:r w:rsidR="00D37A68">
        <w:rPr>
          <w:lang w:val="en-GB" w:eastAsia="en-GB"/>
        </w:rPr>
        <w:t>is</w:t>
      </w:r>
      <w:r w:rsidR="0017399E">
        <w:rPr>
          <w:lang w:val="en-GB" w:eastAsia="en-GB"/>
        </w:rPr>
        <w:t xml:space="preserve"> notice</w:t>
      </w:r>
      <w:r w:rsidR="00BA6BF8">
        <w:rPr>
          <w:lang w:val="en-GB" w:eastAsia="en-GB"/>
        </w:rPr>
        <w:t xml:space="preserve">. </w:t>
      </w:r>
    </w:p>
    <w:p w14:paraId="486D8362" w14:textId="77777777" w:rsidR="00D37A68" w:rsidRDefault="00D37A68" w:rsidP="000E3E2A">
      <w:pPr>
        <w:pStyle w:val="BodyText"/>
        <w:jc w:val="both"/>
        <w:rPr>
          <w:lang w:val="en-GB" w:eastAsia="en-GB"/>
        </w:rPr>
      </w:pPr>
    </w:p>
    <w:p w14:paraId="05A5C20A" w14:textId="454D7AD1" w:rsidR="000015FC" w:rsidRPr="000015FC" w:rsidRDefault="00BA6BF8" w:rsidP="000E3E2A">
      <w:pPr>
        <w:pStyle w:val="BodyText"/>
        <w:jc w:val="both"/>
        <w:rPr>
          <w:lang w:val="en-GB" w:eastAsia="en-GB"/>
        </w:rPr>
      </w:pPr>
      <w:r>
        <w:rPr>
          <w:lang w:val="en-GB" w:eastAsia="en-GB"/>
        </w:rPr>
        <w:t>We may share information with</w:t>
      </w:r>
      <w:r w:rsidR="00784DA1">
        <w:rPr>
          <w:lang w:val="en-GB" w:eastAsia="en-GB"/>
        </w:rPr>
        <w:t xml:space="preserve"> </w:t>
      </w:r>
      <w:r w:rsidR="000015FC" w:rsidRPr="000015FC">
        <w:rPr>
          <w:lang w:val="en-GB" w:eastAsia="en-GB"/>
        </w:rPr>
        <w:t>:</w:t>
      </w:r>
    </w:p>
    <w:p w14:paraId="4311BA4C" w14:textId="77777777" w:rsidR="000015FC" w:rsidRPr="000015FC" w:rsidRDefault="000015FC" w:rsidP="000E3E2A">
      <w:pPr>
        <w:pStyle w:val="Bullets"/>
        <w:jc w:val="both"/>
        <w:rPr>
          <w:lang w:val="en-GB" w:eastAsia="en-GB"/>
        </w:rPr>
      </w:pPr>
      <w:r w:rsidRPr="000015FC">
        <w:rPr>
          <w:lang w:val="en-GB" w:eastAsia="en-GB"/>
        </w:rPr>
        <w:t>Schools and educational partners</w:t>
      </w:r>
    </w:p>
    <w:p w14:paraId="1A24C616" w14:textId="77777777" w:rsidR="000015FC" w:rsidRPr="000015FC" w:rsidRDefault="000015FC" w:rsidP="000E3E2A">
      <w:pPr>
        <w:pStyle w:val="Bullets"/>
        <w:jc w:val="both"/>
        <w:rPr>
          <w:lang w:val="en-GB" w:eastAsia="en-GB"/>
        </w:rPr>
      </w:pPr>
      <w:r w:rsidRPr="000015FC">
        <w:rPr>
          <w:lang w:val="en-GB" w:eastAsia="en-GB"/>
        </w:rPr>
        <w:t>Parents and carers (where appropriate)</w:t>
      </w:r>
    </w:p>
    <w:p w14:paraId="0FCFF09E" w14:textId="77777777" w:rsidR="000015FC" w:rsidRPr="000015FC" w:rsidRDefault="000015FC" w:rsidP="000E3E2A">
      <w:pPr>
        <w:pStyle w:val="Bullets"/>
        <w:jc w:val="both"/>
        <w:rPr>
          <w:lang w:val="en-GB" w:eastAsia="en-GB"/>
        </w:rPr>
      </w:pPr>
      <w:r w:rsidRPr="000015FC">
        <w:rPr>
          <w:lang w:val="en-GB" w:eastAsia="en-GB"/>
        </w:rPr>
        <w:t>Community organisations, delivery partners and funders</w:t>
      </w:r>
    </w:p>
    <w:p w14:paraId="374EA0D6" w14:textId="77777777" w:rsidR="000015FC" w:rsidRPr="000015FC" w:rsidRDefault="000015FC" w:rsidP="000E3E2A">
      <w:pPr>
        <w:pStyle w:val="Bullets"/>
        <w:jc w:val="both"/>
        <w:rPr>
          <w:lang w:val="en-GB" w:eastAsia="en-GB"/>
        </w:rPr>
      </w:pPr>
      <w:r w:rsidRPr="000015FC">
        <w:rPr>
          <w:lang w:val="en-GB" w:eastAsia="en-GB"/>
        </w:rPr>
        <w:t>Regulators and oversight bodies (e.g. Charity Commission)</w:t>
      </w:r>
    </w:p>
    <w:p w14:paraId="5E7CF780" w14:textId="5006FFA9" w:rsidR="000015FC" w:rsidRPr="000015FC" w:rsidRDefault="000015FC" w:rsidP="000E3E2A">
      <w:pPr>
        <w:pStyle w:val="Bullets"/>
        <w:jc w:val="both"/>
        <w:rPr>
          <w:lang w:val="en-GB" w:eastAsia="en-GB"/>
        </w:rPr>
      </w:pPr>
      <w:r w:rsidRPr="000015FC">
        <w:rPr>
          <w:lang w:val="en-GB" w:eastAsia="en-GB"/>
        </w:rPr>
        <w:t>Safeguarding, legal and law</w:t>
      </w:r>
      <w:r w:rsidRPr="000015FC">
        <w:rPr>
          <w:lang w:val="en-GB" w:eastAsia="en-GB"/>
        </w:rPr>
        <w:noBreakHyphen/>
        <w:t xml:space="preserve">enforcement </w:t>
      </w:r>
      <w:r w:rsidR="00815180">
        <w:rPr>
          <w:lang w:val="en-GB" w:eastAsia="en-GB"/>
        </w:rPr>
        <w:t>bodies</w:t>
      </w:r>
    </w:p>
    <w:p w14:paraId="2D8F829E" w14:textId="1F582601" w:rsidR="00383679" w:rsidRPr="00383679" w:rsidRDefault="000015FC" w:rsidP="000E3E2A">
      <w:pPr>
        <w:pStyle w:val="Bullets"/>
        <w:jc w:val="both"/>
        <w:rPr>
          <w:lang w:val="en-GB" w:eastAsia="en-GB"/>
        </w:rPr>
      </w:pPr>
      <w:r w:rsidRPr="000015FC">
        <w:rPr>
          <w:lang w:val="en-GB" w:eastAsia="en-GB"/>
        </w:rPr>
        <w:t xml:space="preserve">Contracted service providers </w:t>
      </w:r>
      <w:r w:rsidR="00250A38">
        <w:rPr>
          <w:lang w:val="en-GB" w:eastAsia="en-GB"/>
        </w:rPr>
        <w:t xml:space="preserve">who process personal data </w:t>
      </w:r>
      <w:r w:rsidR="00951E28">
        <w:rPr>
          <w:lang w:val="en-GB" w:eastAsia="en-GB"/>
        </w:rPr>
        <w:t>on our instruction</w:t>
      </w:r>
      <w:r w:rsidR="00D37A68">
        <w:rPr>
          <w:lang w:val="en-GB" w:eastAsia="en-GB"/>
        </w:rPr>
        <w:t>,</w:t>
      </w:r>
      <w:r w:rsidR="00951E28">
        <w:rPr>
          <w:lang w:val="en-GB" w:eastAsia="en-GB"/>
        </w:rPr>
        <w:t xml:space="preserve"> </w:t>
      </w:r>
      <w:r w:rsidR="00383679">
        <w:rPr>
          <w:lang w:val="en-GB" w:eastAsia="en-GB"/>
        </w:rPr>
        <w:t xml:space="preserve">and who are </w:t>
      </w:r>
      <w:r w:rsidR="00383679" w:rsidRPr="00383679">
        <w:rPr>
          <w:lang w:val="en-GB" w:eastAsia="en-GB"/>
        </w:rPr>
        <w:t xml:space="preserve">and are subject to contractual confidentiality and security </w:t>
      </w:r>
      <w:r w:rsidR="00331010">
        <w:rPr>
          <w:lang w:val="en-GB" w:eastAsia="en-GB"/>
        </w:rPr>
        <w:t>o</w:t>
      </w:r>
      <w:r w:rsidR="00383679" w:rsidRPr="00383679">
        <w:rPr>
          <w:lang w:val="en-GB" w:eastAsia="en-GB"/>
        </w:rPr>
        <w:t>bligations</w:t>
      </w:r>
    </w:p>
    <w:p w14:paraId="7303CB29" w14:textId="77777777" w:rsidR="000015FC" w:rsidRDefault="000015FC" w:rsidP="000E3E2A">
      <w:pPr>
        <w:pStyle w:val="BodyText"/>
        <w:jc w:val="both"/>
        <w:rPr>
          <w:lang w:val="en-GB" w:eastAsia="en-GB"/>
        </w:rPr>
      </w:pPr>
      <w:r w:rsidRPr="000015FC">
        <w:rPr>
          <w:lang w:val="en-GB" w:eastAsia="en-GB"/>
        </w:rPr>
        <w:t>We do not sell personal data.</w:t>
      </w:r>
    </w:p>
    <w:p w14:paraId="21DF7ACC" w14:textId="77777777" w:rsidR="00377B94" w:rsidRDefault="00377B94" w:rsidP="000E3E2A">
      <w:pPr>
        <w:pStyle w:val="BodyText"/>
        <w:jc w:val="both"/>
        <w:rPr>
          <w:lang w:val="en-GB" w:eastAsia="en-GB"/>
        </w:rPr>
      </w:pPr>
    </w:p>
    <w:p w14:paraId="5C50FCB6" w14:textId="77777777" w:rsidR="00B30FA5" w:rsidRPr="00B30FA5" w:rsidRDefault="00B30FA5" w:rsidP="000E3E2A">
      <w:pPr>
        <w:pStyle w:val="Heading1"/>
        <w:jc w:val="both"/>
        <w:rPr>
          <w:lang w:val="en-GB" w:eastAsia="en-GB"/>
        </w:rPr>
      </w:pPr>
      <w:r w:rsidRPr="00B30FA5">
        <w:rPr>
          <w:lang w:val="en-GB" w:eastAsia="en-GB"/>
        </w:rPr>
        <w:t>International data transfers</w:t>
      </w:r>
    </w:p>
    <w:p w14:paraId="0D809E3C" w14:textId="77777777" w:rsidR="007076E2" w:rsidRDefault="007076E2" w:rsidP="000E3E2A">
      <w:pPr>
        <w:pStyle w:val="BodyText"/>
        <w:jc w:val="both"/>
        <w:rPr>
          <w:lang w:val="en-GB" w:eastAsia="en-GB"/>
        </w:rPr>
      </w:pPr>
      <w:r w:rsidRPr="007076E2">
        <w:rPr>
          <w:lang w:val="en-GB" w:eastAsia="en-GB"/>
        </w:rPr>
        <w:t>We do not routinely transfer personal data outside the UK. Where international processing is necessary, we only transfer personal data in compliance with UK data</w:t>
      </w:r>
      <w:r w:rsidRPr="007076E2">
        <w:rPr>
          <w:lang w:val="en-GB" w:eastAsia="en-GB"/>
        </w:rPr>
        <w:noBreakHyphen/>
        <w:t xml:space="preserve">protection law and </w:t>
      </w:r>
      <w:r w:rsidRPr="000E3E2A">
        <w:rPr>
          <w:lang w:val="en-GB" w:eastAsia="en-GB"/>
        </w:rPr>
        <w:t>only where appropriate safeguards are in place</w:t>
      </w:r>
      <w:r w:rsidRPr="007076E2">
        <w:rPr>
          <w:lang w:val="en-GB" w:eastAsia="en-GB"/>
        </w:rPr>
        <w:t>.</w:t>
      </w:r>
    </w:p>
    <w:p w14:paraId="19DCF963" w14:textId="77777777" w:rsidR="00C64AB5" w:rsidRPr="007076E2" w:rsidRDefault="00C64AB5" w:rsidP="000E3E2A">
      <w:pPr>
        <w:pStyle w:val="BodyText"/>
        <w:jc w:val="both"/>
        <w:rPr>
          <w:lang w:val="en-GB" w:eastAsia="en-GB"/>
        </w:rPr>
      </w:pPr>
    </w:p>
    <w:p w14:paraId="1A430E82" w14:textId="77777777" w:rsidR="007076E2" w:rsidRPr="007076E2" w:rsidRDefault="007076E2" w:rsidP="000E3E2A">
      <w:pPr>
        <w:pStyle w:val="BodyText"/>
        <w:jc w:val="both"/>
        <w:rPr>
          <w:lang w:val="en-GB" w:eastAsia="en-GB"/>
        </w:rPr>
      </w:pPr>
      <w:r w:rsidRPr="007076E2">
        <w:rPr>
          <w:lang w:val="en-GB" w:eastAsia="en-GB"/>
        </w:rPr>
        <w:t>These safeguards may include:</w:t>
      </w:r>
    </w:p>
    <w:p w14:paraId="1990593C" w14:textId="77777777" w:rsidR="007076E2" w:rsidRPr="007076E2" w:rsidRDefault="007076E2" w:rsidP="000E3E2A">
      <w:pPr>
        <w:pStyle w:val="Bullets"/>
        <w:jc w:val="both"/>
        <w:rPr>
          <w:lang w:val="en-GB" w:eastAsia="en-GB"/>
        </w:rPr>
      </w:pPr>
      <w:r w:rsidRPr="007076E2">
        <w:rPr>
          <w:lang w:val="en-GB" w:eastAsia="en-GB"/>
        </w:rPr>
        <w:t>an adequacy decision under the UK GDPR; or</w:t>
      </w:r>
    </w:p>
    <w:p w14:paraId="51BC1BA0" w14:textId="77777777" w:rsidR="007076E2" w:rsidRPr="007076E2" w:rsidRDefault="007076E2" w:rsidP="000E3E2A">
      <w:pPr>
        <w:pStyle w:val="Bullets"/>
        <w:jc w:val="both"/>
        <w:rPr>
          <w:lang w:val="en-GB" w:eastAsia="en-GB"/>
        </w:rPr>
      </w:pPr>
      <w:r w:rsidRPr="007076E2">
        <w:rPr>
          <w:lang w:val="en-GB" w:eastAsia="en-GB"/>
        </w:rPr>
        <w:t>approved contractual safeguards, such as the UK International Data Transfer Agreement (IDTA) or the UK Addendum to the EU Standard Contractual Clauses; and</w:t>
      </w:r>
    </w:p>
    <w:p w14:paraId="387CB83F" w14:textId="77777777" w:rsidR="007076E2" w:rsidRDefault="007076E2" w:rsidP="000E3E2A">
      <w:pPr>
        <w:pStyle w:val="Bullets"/>
        <w:jc w:val="both"/>
        <w:rPr>
          <w:lang w:val="en-GB" w:eastAsia="en-GB"/>
        </w:rPr>
      </w:pPr>
      <w:r w:rsidRPr="007076E2">
        <w:rPr>
          <w:lang w:val="en-GB" w:eastAsia="en-GB"/>
        </w:rPr>
        <w:t>a completed Transfer Risk Assessment (TRA).</w:t>
      </w:r>
    </w:p>
    <w:p w14:paraId="18B46CEC" w14:textId="77777777" w:rsidR="00D45BC1" w:rsidRDefault="00D45BC1" w:rsidP="000E3E2A">
      <w:pPr>
        <w:pStyle w:val="BodyText"/>
        <w:jc w:val="both"/>
        <w:rPr>
          <w:lang w:val="en-GB" w:eastAsia="en-GB"/>
        </w:rPr>
      </w:pPr>
    </w:p>
    <w:p w14:paraId="45080BD0" w14:textId="2250BB91" w:rsidR="00D45BC1" w:rsidRDefault="00D45BC1" w:rsidP="000E3E2A">
      <w:pPr>
        <w:pStyle w:val="BodyText"/>
        <w:jc w:val="both"/>
        <w:rPr>
          <w:lang w:val="en-GB" w:eastAsia="en-GB"/>
        </w:rPr>
      </w:pPr>
      <w:r>
        <w:rPr>
          <w:lang w:val="en-GB" w:eastAsia="en-GB"/>
        </w:rPr>
        <w:t>I</w:t>
      </w:r>
      <w:r w:rsidRPr="00D45BC1">
        <w:rPr>
          <w:lang w:val="en-GB" w:eastAsia="en-GB"/>
        </w:rPr>
        <w:t>n exceptional circumstances, where no adequacy decision or appropriate safeguards apply, we may rely on a limited UK GDPR derogation (for example, where the transfer is necessary for important reasons of public interest or to protect vital interests).</w:t>
      </w:r>
      <w:r w:rsidR="007063D5">
        <w:rPr>
          <w:lang w:val="en-GB" w:eastAsia="en-GB"/>
        </w:rPr>
        <w:t xml:space="preserve"> </w:t>
      </w:r>
    </w:p>
    <w:p w14:paraId="107DE9D5" w14:textId="77777777" w:rsidR="007063D5" w:rsidRPr="00D45BC1" w:rsidRDefault="007063D5" w:rsidP="000E3E2A">
      <w:pPr>
        <w:pStyle w:val="BodyText"/>
        <w:jc w:val="both"/>
        <w:rPr>
          <w:lang w:val="en-GB" w:eastAsia="en-GB"/>
        </w:rPr>
      </w:pPr>
    </w:p>
    <w:p w14:paraId="3E2D2984" w14:textId="77777777" w:rsidR="000A36D0" w:rsidRDefault="00866844" w:rsidP="000E3E2A">
      <w:pPr>
        <w:pStyle w:val="Heading2"/>
        <w:spacing w:before="1"/>
        <w:jc w:val="both"/>
        <w:rPr>
          <w:spacing w:val="-2"/>
        </w:rPr>
      </w:pPr>
      <w:bookmarkStart w:id="2" w:name="Your_Rights"/>
      <w:bookmarkEnd w:id="2"/>
      <w:r>
        <w:t>Your</w:t>
      </w:r>
      <w:r>
        <w:rPr>
          <w:spacing w:val="-7"/>
        </w:rPr>
        <w:t xml:space="preserve"> </w:t>
      </w:r>
      <w:r>
        <w:rPr>
          <w:spacing w:val="-2"/>
        </w:rPr>
        <w:t>Rights</w:t>
      </w:r>
    </w:p>
    <w:p w14:paraId="0503D493" w14:textId="77777777" w:rsidR="00A04FB8" w:rsidRDefault="00A04FB8" w:rsidP="000E3E2A">
      <w:pPr>
        <w:pStyle w:val="BodyText"/>
        <w:jc w:val="both"/>
        <w:rPr>
          <w:lang w:val="en-GB"/>
        </w:rPr>
      </w:pPr>
      <w:r w:rsidRPr="00A04FB8">
        <w:rPr>
          <w:lang w:val="en-GB"/>
        </w:rPr>
        <w:t>Move More is committed to ensuring that the rights of individuals whose personal data we process are respected and can be fully exercised in line with data</w:t>
      </w:r>
      <w:r w:rsidRPr="00A04FB8">
        <w:rPr>
          <w:lang w:val="en-GB"/>
        </w:rPr>
        <w:noBreakHyphen/>
        <w:t>protection legislation.</w:t>
      </w:r>
    </w:p>
    <w:p w14:paraId="411CCC1E" w14:textId="77777777" w:rsidR="00AA55B0" w:rsidRPr="00A04FB8" w:rsidRDefault="00AA55B0" w:rsidP="000E3E2A">
      <w:pPr>
        <w:pStyle w:val="BodyText"/>
        <w:jc w:val="both"/>
        <w:rPr>
          <w:lang w:val="en-GB"/>
        </w:rPr>
      </w:pPr>
    </w:p>
    <w:p w14:paraId="7EFEB6DB" w14:textId="77777777" w:rsidR="00A04FB8" w:rsidRPr="00A04FB8" w:rsidRDefault="00A04FB8" w:rsidP="000E3E2A">
      <w:pPr>
        <w:pStyle w:val="BodyText"/>
        <w:jc w:val="both"/>
        <w:rPr>
          <w:lang w:val="en-GB"/>
        </w:rPr>
      </w:pPr>
      <w:r w:rsidRPr="00A04FB8">
        <w:rPr>
          <w:lang w:val="en-GB"/>
        </w:rPr>
        <w:t>Under Articles 13 to 22 of the UK General Data Protection Regulation (UK GDPR), individuals have rights in relation to their personal data, including the right to:</w:t>
      </w:r>
    </w:p>
    <w:p w14:paraId="0CB9FD40" w14:textId="77777777" w:rsidR="00A04FB8" w:rsidRPr="00A04FB8" w:rsidRDefault="00A04FB8" w:rsidP="000E3E2A">
      <w:pPr>
        <w:pStyle w:val="BodyText"/>
        <w:numPr>
          <w:ilvl w:val="0"/>
          <w:numId w:val="11"/>
        </w:numPr>
        <w:jc w:val="both"/>
        <w:rPr>
          <w:lang w:val="en-GB"/>
        </w:rPr>
      </w:pPr>
      <w:r w:rsidRPr="00A04FB8">
        <w:rPr>
          <w:lang w:val="en-GB"/>
        </w:rPr>
        <w:t>be informed about how personal data is collected and used</w:t>
      </w:r>
    </w:p>
    <w:p w14:paraId="5635464F" w14:textId="77777777" w:rsidR="00A04FB8" w:rsidRPr="00A04FB8" w:rsidRDefault="00A04FB8" w:rsidP="000E3E2A">
      <w:pPr>
        <w:pStyle w:val="BodyText"/>
        <w:numPr>
          <w:ilvl w:val="0"/>
          <w:numId w:val="11"/>
        </w:numPr>
        <w:jc w:val="both"/>
        <w:rPr>
          <w:lang w:val="en-GB"/>
        </w:rPr>
      </w:pPr>
      <w:r w:rsidRPr="00A04FB8">
        <w:rPr>
          <w:lang w:val="en-GB"/>
        </w:rPr>
        <w:t>access their personal data</w:t>
      </w:r>
    </w:p>
    <w:p w14:paraId="54D7182B" w14:textId="77777777" w:rsidR="00A04FB8" w:rsidRPr="00A04FB8" w:rsidRDefault="00A04FB8" w:rsidP="000E3E2A">
      <w:pPr>
        <w:pStyle w:val="BodyText"/>
        <w:numPr>
          <w:ilvl w:val="0"/>
          <w:numId w:val="11"/>
        </w:numPr>
        <w:jc w:val="both"/>
        <w:rPr>
          <w:lang w:val="en-GB"/>
        </w:rPr>
      </w:pPr>
      <w:r w:rsidRPr="00A04FB8">
        <w:rPr>
          <w:lang w:val="en-GB"/>
        </w:rPr>
        <w:t>request the rectification of inaccurate or incomplete data</w:t>
      </w:r>
    </w:p>
    <w:p w14:paraId="5AC710CC" w14:textId="77777777" w:rsidR="00A04FB8" w:rsidRPr="00A04FB8" w:rsidRDefault="00A04FB8" w:rsidP="000E3E2A">
      <w:pPr>
        <w:pStyle w:val="BodyText"/>
        <w:numPr>
          <w:ilvl w:val="0"/>
          <w:numId w:val="11"/>
        </w:numPr>
        <w:jc w:val="both"/>
        <w:rPr>
          <w:lang w:val="en-GB"/>
        </w:rPr>
      </w:pPr>
      <w:r w:rsidRPr="00A04FB8">
        <w:rPr>
          <w:lang w:val="en-GB"/>
        </w:rPr>
        <w:t>request the erasure of personal data (in certain circumstances)</w:t>
      </w:r>
    </w:p>
    <w:p w14:paraId="21DC4085" w14:textId="77777777" w:rsidR="00A04FB8" w:rsidRPr="00A04FB8" w:rsidRDefault="00A04FB8" w:rsidP="000E3E2A">
      <w:pPr>
        <w:pStyle w:val="BodyText"/>
        <w:numPr>
          <w:ilvl w:val="0"/>
          <w:numId w:val="11"/>
        </w:numPr>
        <w:jc w:val="both"/>
        <w:rPr>
          <w:lang w:val="en-GB"/>
        </w:rPr>
      </w:pPr>
      <w:r w:rsidRPr="00A04FB8">
        <w:rPr>
          <w:lang w:val="en-GB"/>
        </w:rPr>
        <w:t>request the restriction of processing (in certain circumstances)</w:t>
      </w:r>
    </w:p>
    <w:p w14:paraId="19A40310" w14:textId="77777777" w:rsidR="00A04FB8" w:rsidRPr="00A04FB8" w:rsidRDefault="00A04FB8" w:rsidP="000E3E2A">
      <w:pPr>
        <w:pStyle w:val="BodyText"/>
        <w:numPr>
          <w:ilvl w:val="0"/>
          <w:numId w:val="11"/>
        </w:numPr>
        <w:jc w:val="both"/>
        <w:rPr>
          <w:lang w:val="en-GB"/>
        </w:rPr>
      </w:pPr>
      <w:r w:rsidRPr="00A04FB8">
        <w:rPr>
          <w:lang w:val="en-GB"/>
        </w:rPr>
        <w:t>object to the processing of personal data (in certain circumstances)</w:t>
      </w:r>
    </w:p>
    <w:p w14:paraId="441640FF" w14:textId="77777777" w:rsidR="00A04FB8" w:rsidRPr="00A04FB8" w:rsidRDefault="00A04FB8" w:rsidP="000E3E2A">
      <w:pPr>
        <w:pStyle w:val="BodyText"/>
        <w:numPr>
          <w:ilvl w:val="0"/>
          <w:numId w:val="11"/>
        </w:numPr>
        <w:jc w:val="both"/>
        <w:rPr>
          <w:lang w:val="en-GB"/>
        </w:rPr>
      </w:pPr>
      <w:r w:rsidRPr="00A04FB8">
        <w:rPr>
          <w:lang w:val="en-GB"/>
        </w:rPr>
        <w:t>data portability, where the lawful basis permits</w:t>
      </w:r>
    </w:p>
    <w:p w14:paraId="24C85BB8" w14:textId="77777777" w:rsidR="00A04FB8" w:rsidRPr="00A04FB8" w:rsidRDefault="00A04FB8" w:rsidP="000E3E2A">
      <w:pPr>
        <w:pStyle w:val="BodyText"/>
        <w:numPr>
          <w:ilvl w:val="0"/>
          <w:numId w:val="11"/>
        </w:numPr>
        <w:jc w:val="both"/>
        <w:rPr>
          <w:lang w:val="en-GB"/>
        </w:rPr>
      </w:pPr>
      <w:r w:rsidRPr="00A04FB8">
        <w:rPr>
          <w:lang w:val="en-GB"/>
        </w:rPr>
        <w:t>withdraw consent at any time, where consent is the sole lawful basis</w:t>
      </w:r>
    </w:p>
    <w:p w14:paraId="35735698" w14:textId="77777777" w:rsidR="00A04FB8" w:rsidRPr="00A04FB8" w:rsidRDefault="00A04FB8" w:rsidP="000E3E2A">
      <w:pPr>
        <w:pStyle w:val="BodyText"/>
        <w:numPr>
          <w:ilvl w:val="0"/>
          <w:numId w:val="11"/>
        </w:numPr>
        <w:jc w:val="both"/>
        <w:rPr>
          <w:lang w:val="en-GB"/>
        </w:rPr>
      </w:pPr>
      <w:r w:rsidRPr="00A04FB8">
        <w:rPr>
          <w:lang w:val="en-GB"/>
        </w:rPr>
        <w:t>rights in relation to automated decision</w:t>
      </w:r>
      <w:r w:rsidRPr="00A04FB8">
        <w:rPr>
          <w:lang w:val="en-GB"/>
        </w:rPr>
        <w:noBreakHyphen/>
        <w:t>making and profiling</w:t>
      </w:r>
    </w:p>
    <w:p w14:paraId="0D324022" w14:textId="77777777" w:rsidR="00AA55B0" w:rsidRDefault="00AA55B0" w:rsidP="000E3E2A">
      <w:pPr>
        <w:pStyle w:val="BodyText"/>
        <w:jc w:val="both"/>
        <w:rPr>
          <w:lang w:val="en-GB"/>
        </w:rPr>
      </w:pPr>
    </w:p>
    <w:p w14:paraId="24CDDA44" w14:textId="585698D6" w:rsidR="00A04FB8" w:rsidRDefault="00A04FB8" w:rsidP="000E3E2A">
      <w:pPr>
        <w:pStyle w:val="BodyText"/>
        <w:jc w:val="both"/>
        <w:rPr>
          <w:lang w:val="en-GB"/>
        </w:rPr>
      </w:pPr>
      <w:r w:rsidRPr="00A04FB8">
        <w:rPr>
          <w:lang w:val="en-GB"/>
        </w:rPr>
        <w:t>Move More does not use automated decision</w:t>
      </w:r>
      <w:r w:rsidRPr="00A04FB8">
        <w:rPr>
          <w:lang w:val="en-GB"/>
        </w:rPr>
        <w:noBreakHyphen/>
        <w:t>making or profiling in its processing activities.</w:t>
      </w:r>
    </w:p>
    <w:p w14:paraId="7686E6CC" w14:textId="77777777" w:rsidR="0037128B" w:rsidRDefault="0037128B" w:rsidP="000E3E2A">
      <w:pPr>
        <w:pStyle w:val="BodyText"/>
        <w:jc w:val="both"/>
        <w:rPr>
          <w:lang w:val="en-GB"/>
        </w:rPr>
      </w:pPr>
    </w:p>
    <w:p w14:paraId="4432419D" w14:textId="77777777" w:rsidR="00AA55B0" w:rsidRPr="00A04FB8" w:rsidRDefault="00AA55B0" w:rsidP="000E3E2A">
      <w:pPr>
        <w:pStyle w:val="BodyText"/>
        <w:jc w:val="both"/>
        <w:rPr>
          <w:lang w:val="en-GB"/>
        </w:rPr>
      </w:pPr>
    </w:p>
    <w:p w14:paraId="083B1C67" w14:textId="77777777" w:rsidR="00A04FB8" w:rsidRDefault="00A04FB8" w:rsidP="000E3E2A">
      <w:pPr>
        <w:pStyle w:val="BodyText"/>
        <w:jc w:val="both"/>
        <w:rPr>
          <w:lang w:val="en-GB"/>
        </w:rPr>
      </w:pPr>
      <w:r w:rsidRPr="00A04FB8">
        <w:rPr>
          <w:lang w:val="en-GB"/>
        </w:rPr>
        <w:lastRenderedPageBreak/>
        <w:t>We will respond to individual rights requests in accordance with statutory requirements and applicable timescales. Where necessary, we may request additional information to verify the requester’s identity or to clarify the scope of the request.</w:t>
      </w:r>
    </w:p>
    <w:p w14:paraId="22C8F841" w14:textId="77777777" w:rsidR="00AA55B0" w:rsidRPr="00A04FB8" w:rsidRDefault="00AA55B0" w:rsidP="000E3E2A">
      <w:pPr>
        <w:pStyle w:val="BodyText"/>
        <w:jc w:val="both"/>
        <w:rPr>
          <w:lang w:val="en-GB"/>
        </w:rPr>
      </w:pPr>
    </w:p>
    <w:p w14:paraId="5EBD49A6" w14:textId="77777777" w:rsidR="00A04FB8" w:rsidRPr="00A04FB8" w:rsidRDefault="00A04FB8" w:rsidP="000E3E2A">
      <w:pPr>
        <w:pStyle w:val="BodyText"/>
        <w:jc w:val="both"/>
        <w:rPr>
          <w:lang w:val="en-GB"/>
        </w:rPr>
      </w:pPr>
      <w:r w:rsidRPr="00A04FB8">
        <w:rPr>
          <w:lang w:val="en-GB"/>
        </w:rPr>
        <w:t xml:space="preserve">Appropriate procedures, guidance and supporting documentation are in place to ensure that individual rights requests are handled </w:t>
      </w:r>
      <w:r w:rsidRPr="000E3E2A">
        <w:rPr>
          <w:lang w:val="en-GB"/>
        </w:rPr>
        <w:t>lawfully, consistently and fairly</w:t>
      </w:r>
      <w:r w:rsidRPr="00A04FB8">
        <w:rPr>
          <w:lang w:val="en-GB"/>
        </w:rPr>
        <w:t>.</w:t>
      </w:r>
    </w:p>
    <w:p w14:paraId="51A1F5FD" w14:textId="77777777" w:rsidR="00A04FB8" w:rsidRDefault="00A04FB8" w:rsidP="000E3E2A">
      <w:pPr>
        <w:pStyle w:val="BodyText"/>
        <w:jc w:val="both"/>
      </w:pPr>
    </w:p>
    <w:p w14:paraId="49494A8C" w14:textId="77777777" w:rsidR="009A5D1C" w:rsidRDefault="009A5D1C" w:rsidP="000E3E2A">
      <w:pPr>
        <w:pStyle w:val="Heading1"/>
        <w:jc w:val="both"/>
        <w:rPr>
          <w:lang w:val="en-GB" w:eastAsia="en-GB"/>
        </w:rPr>
      </w:pPr>
      <w:r w:rsidRPr="009A5D1C">
        <w:rPr>
          <w:lang w:val="en-GB" w:eastAsia="en-GB"/>
        </w:rPr>
        <w:t>Cookies and analytics</w:t>
      </w:r>
    </w:p>
    <w:p w14:paraId="2E2A0461" w14:textId="77777777" w:rsidR="009A5D1C" w:rsidRPr="009A5D1C" w:rsidRDefault="009A5D1C" w:rsidP="000E3E2A">
      <w:pPr>
        <w:pStyle w:val="BodyText"/>
        <w:jc w:val="both"/>
        <w:rPr>
          <w:lang w:val="en-GB" w:eastAsia="en-GB"/>
        </w:rPr>
      </w:pPr>
      <w:r w:rsidRPr="009A5D1C">
        <w:rPr>
          <w:lang w:val="en-GB" w:eastAsia="en-GB"/>
        </w:rPr>
        <w:t>We use cookies to ensure the website functions properly.</w:t>
      </w:r>
    </w:p>
    <w:p w14:paraId="1CF6CD30" w14:textId="77777777" w:rsidR="009A5D1C" w:rsidRPr="009A5D1C" w:rsidRDefault="009A5D1C" w:rsidP="000E3E2A">
      <w:pPr>
        <w:pStyle w:val="BodyText"/>
        <w:jc w:val="both"/>
        <w:rPr>
          <w:lang w:val="en-GB" w:eastAsia="en-GB"/>
        </w:rPr>
      </w:pPr>
      <w:r w:rsidRPr="009A5D1C">
        <w:rPr>
          <w:lang w:val="en-GB" w:eastAsia="en-GB"/>
        </w:rPr>
        <w:t>Non</w:t>
      </w:r>
      <w:r w:rsidRPr="009A5D1C">
        <w:rPr>
          <w:rFonts w:ascii="Cambria Math" w:hAnsi="Cambria Math" w:cs="Cambria Math"/>
          <w:lang w:val="en-GB" w:eastAsia="en-GB"/>
        </w:rPr>
        <w:t>‑</w:t>
      </w:r>
      <w:r w:rsidRPr="009A5D1C">
        <w:rPr>
          <w:lang w:val="en-GB" w:eastAsia="en-GB"/>
        </w:rPr>
        <w:t>essential cookies (including Google Analytics) are used only with your consent.</w:t>
      </w:r>
    </w:p>
    <w:p w14:paraId="500B4D2B" w14:textId="001D8237" w:rsidR="009A5D1C" w:rsidRDefault="009A5D1C" w:rsidP="000E3E2A">
      <w:pPr>
        <w:pStyle w:val="BodyText"/>
        <w:jc w:val="both"/>
        <w:rPr>
          <w:lang w:val="en-GB" w:eastAsia="en-GB"/>
        </w:rPr>
      </w:pPr>
      <w:r w:rsidRPr="009A5D1C">
        <w:rPr>
          <w:lang w:val="en-GB" w:eastAsia="en-GB"/>
        </w:rPr>
        <w:t xml:space="preserve">You </w:t>
      </w:r>
      <w:r w:rsidR="00D106C5">
        <w:rPr>
          <w:lang w:val="en-GB" w:eastAsia="en-GB"/>
        </w:rPr>
        <w:t>may</w:t>
      </w:r>
      <w:r w:rsidRPr="009A5D1C">
        <w:rPr>
          <w:lang w:val="en-GB" w:eastAsia="en-GB"/>
        </w:rPr>
        <w:t xml:space="preserve"> manage preferences at any time through the cookie tool or browser settings.</w:t>
      </w:r>
    </w:p>
    <w:p w14:paraId="41365F2C" w14:textId="77777777" w:rsidR="00534898" w:rsidRDefault="00534898" w:rsidP="000E3E2A">
      <w:pPr>
        <w:pStyle w:val="BodyText"/>
        <w:jc w:val="both"/>
        <w:rPr>
          <w:lang w:val="en-GB" w:eastAsia="en-GB"/>
        </w:rPr>
      </w:pPr>
    </w:p>
    <w:p w14:paraId="585B1350" w14:textId="77777777" w:rsidR="00534898" w:rsidRPr="00534898" w:rsidRDefault="00534898" w:rsidP="000E3E2A">
      <w:pPr>
        <w:pStyle w:val="Heading1"/>
        <w:jc w:val="both"/>
        <w:rPr>
          <w:lang w:val="en-GB" w:eastAsia="en-GB"/>
        </w:rPr>
      </w:pPr>
      <w:r w:rsidRPr="00534898">
        <w:rPr>
          <w:lang w:val="en-GB" w:eastAsia="en-GB"/>
        </w:rPr>
        <w:t>Changes to this notice</w:t>
      </w:r>
    </w:p>
    <w:p w14:paraId="49201E94" w14:textId="4CA7D5F6" w:rsidR="0054102E" w:rsidRDefault="00527357" w:rsidP="000E3E2A">
      <w:pPr>
        <w:pStyle w:val="BodyText"/>
        <w:jc w:val="both"/>
        <w:rPr>
          <w:lang w:val="en-GB" w:eastAsia="en-GB"/>
        </w:rPr>
      </w:pPr>
      <w:r w:rsidRPr="00527357">
        <w:rPr>
          <w:lang w:val="en-GB" w:eastAsia="en-GB"/>
        </w:rPr>
        <w:t xml:space="preserve">We review this notice annually </w:t>
      </w:r>
      <w:r>
        <w:rPr>
          <w:lang w:val="en-GB" w:eastAsia="en-GB"/>
        </w:rPr>
        <w:t xml:space="preserve">or sooner in response </w:t>
      </w:r>
      <w:r w:rsidR="0054102E">
        <w:rPr>
          <w:lang w:val="en-GB" w:eastAsia="en-GB"/>
        </w:rPr>
        <w:t>to</w:t>
      </w:r>
      <w:r>
        <w:rPr>
          <w:lang w:val="en-GB" w:eastAsia="en-GB"/>
        </w:rPr>
        <w:t xml:space="preserve"> changes in the </w:t>
      </w:r>
      <w:r w:rsidR="0054102E">
        <w:rPr>
          <w:lang w:val="en-GB" w:eastAsia="en-GB"/>
        </w:rPr>
        <w:t>regulatory</w:t>
      </w:r>
      <w:r>
        <w:rPr>
          <w:lang w:val="en-GB" w:eastAsia="en-GB"/>
        </w:rPr>
        <w:t xml:space="preserve"> environment or our </w:t>
      </w:r>
      <w:r w:rsidR="0054102E">
        <w:rPr>
          <w:lang w:val="en-GB" w:eastAsia="en-GB"/>
        </w:rPr>
        <w:t>data handling and processing activities.</w:t>
      </w:r>
    </w:p>
    <w:p w14:paraId="12B6C0C0" w14:textId="0DF86413" w:rsidR="00527357" w:rsidRPr="00527357" w:rsidRDefault="00527357" w:rsidP="000E3E2A">
      <w:pPr>
        <w:pStyle w:val="BodyText"/>
        <w:jc w:val="both"/>
        <w:rPr>
          <w:lang w:val="en-GB" w:eastAsia="en-GB"/>
        </w:rPr>
      </w:pPr>
    </w:p>
    <w:p w14:paraId="1A030F00" w14:textId="080D5002" w:rsidR="00534898" w:rsidRDefault="00527357" w:rsidP="000E3E2A">
      <w:pPr>
        <w:pStyle w:val="BodyText"/>
        <w:jc w:val="both"/>
        <w:rPr>
          <w:lang w:val="en-GB" w:eastAsia="en-GB"/>
        </w:rPr>
      </w:pPr>
      <w:r w:rsidRPr="00527357">
        <w:rPr>
          <w:lang w:val="en-GB" w:eastAsia="en-GB"/>
        </w:rPr>
        <w:t>The latest version will always be published on our website.</w:t>
      </w:r>
    </w:p>
    <w:p w14:paraId="57458B57" w14:textId="77777777" w:rsidR="0054102E" w:rsidRDefault="0054102E" w:rsidP="000E3E2A">
      <w:pPr>
        <w:pStyle w:val="BodyText"/>
        <w:jc w:val="both"/>
        <w:rPr>
          <w:lang w:val="en-GB" w:eastAsia="en-GB"/>
        </w:rPr>
      </w:pPr>
    </w:p>
    <w:p w14:paraId="7FD353D3" w14:textId="77777777" w:rsidR="00077FBC" w:rsidRPr="00077FBC" w:rsidRDefault="00077FBC" w:rsidP="000E3E2A">
      <w:pPr>
        <w:pStyle w:val="Heading1"/>
        <w:jc w:val="both"/>
        <w:rPr>
          <w:lang w:val="en-GB" w:eastAsia="en-GB"/>
        </w:rPr>
      </w:pPr>
      <w:r w:rsidRPr="00077FBC">
        <w:rPr>
          <w:lang w:val="en-GB" w:eastAsia="en-GB"/>
        </w:rPr>
        <w:t>Data protection complaints</w:t>
      </w:r>
    </w:p>
    <w:p w14:paraId="22D0D62F" w14:textId="77777777" w:rsidR="00591B25" w:rsidRDefault="00591B25" w:rsidP="000E3E2A">
      <w:pPr>
        <w:pStyle w:val="BodyText"/>
        <w:jc w:val="both"/>
        <w:rPr>
          <w:lang w:val="en-GB" w:eastAsia="en-GB"/>
        </w:rPr>
      </w:pPr>
      <w:r w:rsidRPr="00591B25">
        <w:rPr>
          <w:lang w:val="en-GB" w:eastAsia="en-GB"/>
        </w:rPr>
        <w:t>Move More takes data</w:t>
      </w:r>
      <w:r w:rsidRPr="00591B25">
        <w:rPr>
          <w:lang w:val="en-GB" w:eastAsia="en-GB"/>
        </w:rPr>
        <w:noBreakHyphen/>
        <w:t>protection concerns seriously and is committed to resolving complaints fairly, promptly and transparently.</w:t>
      </w:r>
    </w:p>
    <w:p w14:paraId="27DFF5C6" w14:textId="77777777" w:rsidR="00591B25" w:rsidRPr="00591B25" w:rsidRDefault="00591B25" w:rsidP="000E3E2A">
      <w:pPr>
        <w:pStyle w:val="BodyText"/>
        <w:jc w:val="both"/>
        <w:rPr>
          <w:lang w:val="en-GB" w:eastAsia="en-GB"/>
        </w:rPr>
      </w:pPr>
    </w:p>
    <w:p w14:paraId="40B58BD6" w14:textId="77777777" w:rsidR="00591B25" w:rsidRDefault="00591B25" w:rsidP="000E3E2A">
      <w:pPr>
        <w:pStyle w:val="BodyText"/>
        <w:jc w:val="both"/>
        <w:rPr>
          <w:lang w:val="en-GB" w:eastAsia="en-GB"/>
        </w:rPr>
      </w:pPr>
      <w:r w:rsidRPr="00591B25">
        <w:rPr>
          <w:lang w:val="en-GB" w:eastAsia="en-GB"/>
        </w:rPr>
        <w:t xml:space="preserve">Under the </w:t>
      </w:r>
      <w:r w:rsidRPr="000E3E2A">
        <w:rPr>
          <w:lang w:val="en-GB" w:eastAsia="en-GB"/>
        </w:rPr>
        <w:t>Data Use and Access Act 2025</w:t>
      </w:r>
      <w:r w:rsidRPr="00591B25">
        <w:rPr>
          <w:lang w:val="en-GB" w:eastAsia="en-GB"/>
        </w:rPr>
        <w:t>, individuals are required to raise data</w:t>
      </w:r>
      <w:r w:rsidRPr="00591B25">
        <w:rPr>
          <w:lang w:val="en-GB" w:eastAsia="en-GB"/>
        </w:rPr>
        <w:noBreakHyphen/>
        <w:t>protection complaints directly with the data controller in the first instance. This gives organisations the opportunity to investigate concerns and provide a meaningful response before escalation.</w:t>
      </w:r>
    </w:p>
    <w:p w14:paraId="0BAD9AB6" w14:textId="77777777" w:rsidR="00591B25" w:rsidRPr="00591B25" w:rsidRDefault="00591B25" w:rsidP="000E3E2A">
      <w:pPr>
        <w:pStyle w:val="BodyText"/>
        <w:jc w:val="both"/>
        <w:rPr>
          <w:lang w:val="en-GB" w:eastAsia="en-GB"/>
        </w:rPr>
      </w:pPr>
    </w:p>
    <w:p w14:paraId="6407FAFC" w14:textId="2ACAB659" w:rsidR="00591B25" w:rsidRDefault="00591B25" w:rsidP="000E3E2A">
      <w:pPr>
        <w:pStyle w:val="BodyText"/>
        <w:jc w:val="both"/>
        <w:rPr>
          <w:lang w:val="en-GB" w:eastAsia="en-GB"/>
        </w:rPr>
      </w:pPr>
      <w:r w:rsidRPr="00591B25">
        <w:rPr>
          <w:lang w:val="en-GB" w:eastAsia="en-GB"/>
        </w:rPr>
        <w:t>If you have a concern about how we collect, use or protect your personal data, you should</w:t>
      </w:r>
      <w:r w:rsidR="00F176D0">
        <w:rPr>
          <w:lang w:val="en-GB" w:eastAsia="en-GB"/>
        </w:rPr>
        <w:t xml:space="preserve"> </w:t>
      </w:r>
      <w:r w:rsidRPr="00591B25">
        <w:rPr>
          <w:lang w:val="en-GB" w:eastAsia="en-GB"/>
        </w:rPr>
        <w:t>co</w:t>
      </w:r>
      <w:r w:rsidR="00F176D0">
        <w:rPr>
          <w:lang w:val="en-GB" w:eastAsia="en-GB"/>
        </w:rPr>
        <w:t>ntact</w:t>
      </w:r>
    </w:p>
    <w:p w14:paraId="0FC26484" w14:textId="5D2C58F9" w:rsidR="00591B25" w:rsidRPr="00591B25" w:rsidRDefault="00591B25" w:rsidP="000E3E2A">
      <w:pPr>
        <w:pStyle w:val="BodyText"/>
        <w:jc w:val="both"/>
        <w:rPr>
          <w:lang w:val="en-GB" w:eastAsia="en-GB"/>
        </w:rPr>
      </w:pPr>
      <w:r w:rsidRPr="00591B25">
        <w:rPr>
          <w:lang w:val="en-GB" w:eastAsia="en-GB"/>
        </w:rPr>
        <w:t xml:space="preserve">us using the details in the </w:t>
      </w:r>
      <w:r>
        <w:rPr>
          <w:lang w:val="en-GB" w:eastAsia="en-GB"/>
        </w:rPr>
        <w:t>‘</w:t>
      </w:r>
      <w:r w:rsidRPr="000E3E2A">
        <w:rPr>
          <w:lang w:val="en-GB" w:eastAsia="en-GB"/>
        </w:rPr>
        <w:t>Contact</w:t>
      </w:r>
      <w:r>
        <w:rPr>
          <w:lang w:val="en-GB" w:eastAsia="en-GB"/>
        </w:rPr>
        <w:t xml:space="preserve">’ </w:t>
      </w:r>
      <w:r w:rsidRPr="00591B25">
        <w:rPr>
          <w:lang w:val="en-GB" w:eastAsia="en-GB"/>
        </w:rPr>
        <w:t>section of this notice, clearly explaining:</w:t>
      </w:r>
    </w:p>
    <w:p w14:paraId="69F1822B" w14:textId="77777777" w:rsidR="00F176D0" w:rsidRDefault="00591B25" w:rsidP="000E3E2A">
      <w:pPr>
        <w:pStyle w:val="Bullets"/>
        <w:rPr>
          <w:lang w:val="en-GB" w:eastAsia="en-GB"/>
        </w:rPr>
      </w:pPr>
      <w:r w:rsidRPr="00591B25">
        <w:rPr>
          <w:lang w:val="en-GB" w:eastAsia="en-GB"/>
        </w:rPr>
        <w:t>the nature of your concern; and</w:t>
      </w:r>
      <w:r w:rsidR="00F176D0">
        <w:rPr>
          <w:lang w:val="en-GB" w:eastAsia="en-GB"/>
        </w:rPr>
        <w:t>,</w:t>
      </w:r>
    </w:p>
    <w:p w14:paraId="480DBBB8" w14:textId="31C8BBE7" w:rsidR="00591B25" w:rsidRDefault="00591B25" w:rsidP="000E3E2A">
      <w:pPr>
        <w:pStyle w:val="Bullets"/>
        <w:rPr>
          <w:lang w:val="en-GB" w:eastAsia="en-GB"/>
        </w:rPr>
      </w:pPr>
      <w:r w:rsidRPr="00591B25">
        <w:rPr>
          <w:lang w:val="en-GB" w:eastAsia="en-GB"/>
        </w:rPr>
        <w:t>the outcome you are seeking.</w:t>
      </w:r>
    </w:p>
    <w:p w14:paraId="4C271FEB" w14:textId="77777777" w:rsidR="00591B25" w:rsidRPr="00591B25" w:rsidRDefault="00591B25" w:rsidP="000E3E2A">
      <w:pPr>
        <w:pStyle w:val="BodyText"/>
        <w:jc w:val="both"/>
        <w:rPr>
          <w:lang w:val="en-GB" w:eastAsia="en-GB"/>
        </w:rPr>
      </w:pPr>
    </w:p>
    <w:p w14:paraId="51E75816" w14:textId="77777777" w:rsidR="00591B25" w:rsidRDefault="00591B25" w:rsidP="000E3E2A">
      <w:pPr>
        <w:pStyle w:val="BodyText"/>
        <w:jc w:val="both"/>
        <w:rPr>
          <w:lang w:val="en-GB" w:eastAsia="en-GB"/>
        </w:rPr>
      </w:pPr>
      <w:r w:rsidRPr="00591B25">
        <w:rPr>
          <w:lang w:val="en-GB" w:eastAsia="en-GB"/>
        </w:rPr>
        <w:t>We will acknowledge and respond to complaints in line with statutory requirements and applicable timescales.</w:t>
      </w:r>
    </w:p>
    <w:p w14:paraId="465F89CC" w14:textId="77777777" w:rsidR="00591B25" w:rsidRPr="00591B25" w:rsidRDefault="00591B25" w:rsidP="000E3E2A">
      <w:pPr>
        <w:pStyle w:val="BodyText"/>
        <w:jc w:val="both"/>
        <w:rPr>
          <w:lang w:val="en-GB" w:eastAsia="en-GB"/>
        </w:rPr>
      </w:pPr>
    </w:p>
    <w:p w14:paraId="724AF02F" w14:textId="019766C8" w:rsidR="0035587E" w:rsidRDefault="00591B25" w:rsidP="00C775EF">
      <w:pPr>
        <w:pStyle w:val="BodyText"/>
        <w:jc w:val="both"/>
      </w:pPr>
      <w:r w:rsidRPr="00591B25">
        <w:rPr>
          <w:lang w:val="en-GB" w:eastAsia="en-GB"/>
        </w:rPr>
        <w:t xml:space="preserve">If you remain dissatisfied after receiving our final response, you have the right to escalate your complaint to the </w:t>
      </w:r>
      <w:r w:rsidRPr="000E3E2A">
        <w:rPr>
          <w:lang w:val="en-GB" w:eastAsia="en-GB"/>
        </w:rPr>
        <w:t>Information Commissioner’s Office (ICO)</w:t>
      </w:r>
      <w:r w:rsidRPr="00591B25">
        <w:rPr>
          <w:lang w:val="en-GB" w:eastAsia="en-GB"/>
        </w:rPr>
        <w:t>.</w:t>
      </w:r>
      <w:r w:rsidR="00F176D0">
        <w:rPr>
          <w:lang w:val="en-GB" w:eastAsia="en-GB"/>
        </w:rPr>
        <w:t xml:space="preserve"> </w:t>
      </w:r>
      <w:r w:rsidRPr="00591B25">
        <w:rPr>
          <w:lang w:val="en-GB" w:eastAsia="en-GB"/>
        </w:rPr>
        <w:t>Further information about making a data</w:t>
      </w:r>
      <w:r w:rsidRPr="00591B25">
        <w:rPr>
          <w:lang w:val="en-GB" w:eastAsia="en-GB"/>
        </w:rPr>
        <w:noBreakHyphen/>
        <w:t xml:space="preserve">protection complaint is available on the ICO’s </w:t>
      </w:r>
      <w:r w:rsidR="0035587E">
        <w:rPr>
          <w:lang w:val="en-GB" w:eastAsia="en-GB"/>
        </w:rPr>
        <w:t>w</w:t>
      </w:r>
      <w:r w:rsidRPr="00591B25">
        <w:rPr>
          <w:lang w:val="en-GB" w:eastAsia="en-GB"/>
        </w:rPr>
        <w:t>ebsite</w:t>
      </w:r>
      <w:r w:rsidR="0035587E">
        <w:rPr>
          <w:lang w:val="en-GB" w:eastAsia="en-GB"/>
        </w:rPr>
        <w:t xml:space="preserve">: </w:t>
      </w:r>
      <w:hyperlink r:id="rId11" w:history="1">
        <w:r w:rsidR="00C775EF">
          <w:rPr>
            <w:rStyle w:val="Hyperlink"/>
          </w:rPr>
          <w:t>Make a complaint | ICO</w:t>
        </w:r>
      </w:hyperlink>
    </w:p>
    <w:p w14:paraId="727D2064" w14:textId="77777777" w:rsidR="0035587E" w:rsidRDefault="0035587E" w:rsidP="00C775EF">
      <w:pPr>
        <w:pStyle w:val="BodyText"/>
        <w:jc w:val="both"/>
      </w:pPr>
    </w:p>
    <w:p w14:paraId="3E2D29AB" w14:textId="77777777" w:rsidR="000A36D0" w:rsidRDefault="00866844">
      <w:pPr>
        <w:pStyle w:val="Heading2"/>
        <w:spacing w:before="65"/>
        <w:rPr>
          <w:spacing w:val="-2"/>
        </w:rPr>
      </w:pPr>
      <w:bookmarkStart w:id="3" w:name="You_are_also_legally_entitled_to_request"/>
      <w:bookmarkStart w:id="4" w:name="Google_Analytics"/>
      <w:bookmarkStart w:id="5" w:name="Cookies"/>
      <w:bookmarkStart w:id="6" w:name="Contact"/>
      <w:bookmarkEnd w:id="3"/>
      <w:bookmarkEnd w:id="4"/>
      <w:bookmarkEnd w:id="5"/>
      <w:bookmarkEnd w:id="6"/>
      <w:r>
        <w:rPr>
          <w:spacing w:val="-2"/>
        </w:rPr>
        <w:t>Contact</w:t>
      </w:r>
    </w:p>
    <w:p w14:paraId="3E2D29AD" w14:textId="30BFE4B3" w:rsidR="000A36D0" w:rsidRDefault="00701880" w:rsidP="00DC69FE">
      <w:pPr>
        <w:pStyle w:val="BodyText"/>
        <w:rPr>
          <w:rStyle w:val="Hyperlink"/>
        </w:rPr>
      </w:pPr>
      <w:r>
        <w:t xml:space="preserve">Data Controller: </w:t>
      </w:r>
      <w:r w:rsidR="000B2873" w:rsidRPr="000E3E2A">
        <w:t>Move More CIO</w:t>
      </w:r>
      <w:r w:rsidR="000B2873">
        <w:t xml:space="preserve">, </w:t>
      </w:r>
      <w:r w:rsidR="000B2873" w:rsidRPr="000E3E2A">
        <w:t>Carrant House, Teddington Hands</w:t>
      </w:r>
      <w:r w:rsidR="000B2873">
        <w:t xml:space="preserve">, </w:t>
      </w:r>
      <w:r w:rsidR="000B2873" w:rsidRPr="000E3E2A">
        <w:t>Evesham Road</w:t>
      </w:r>
      <w:r w:rsidR="000B2873" w:rsidRPr="000E3E2A">
        <w:br/>
        <w:t>Tewkesbury</w:t>
      </w:r>
      <w:r w:rsidR="000B2873">
        <w:t xml:space="preserve">, </w:t>
      </w:r>
      <w:r w:rsidR="000B2873" w:rsidRPr="000E3E2A">
        <w:t>Gloucestershire</w:t>
      </w:r>
      <w:r w:rsidR="000B2873">
        <w:t xml:space="preserve">, </w:t>
      </w:r>
      <w:r w:rsidR="000B2873" w:rsidRPr="000E3E2A">
        <w:t>GL20 8NE</w:t>
      </w:r>
      <w:r w:rsidR="000B2873">
        <w:t>. Email</w:t>
      </w:r>
      <w:r w:rsidR="000C5E2A">
        <w:t xml:space="preserve">: </w:t>
      </w:r>
      <w:hyperlink r:id="rId12">
        <w:r w:rsidR="00866844" w:rsidRPr="000E3E2A">
          <w:rPr>
            <w:rStyle w:val="Hyperlink"/>
          </w:rPr>
          <w:t>info@move-more.org</w:t>
        </w:r>
      </w:hyperlink>
    </w:p>
    <w:p w14:paraId="698D55B8" w14:textId="77777777" w:rsidR="001D167C" w:rsidRDefault="001D167C" w:rsidP="00DC69FE">
      <w:pPr>
        <w:pStyle w:val="BodyText"/>
        <w:rPr>
          <w:rStyle w:val="Hyperlink"/>
        </w:rPr>
      </w:pPr>
    </w:p>
    <w:p w14:paraId="7CECAB01" w14:textId="77777777" w:rsidR="000C2B3F" w:rsidRDefault="001D167C" w:rsidP="00DC69FE">
      <w:pPr>
        <w:pStyle w:val="BodyText"/>
        <w:rPr>
          <w:lang w:val="en-GB" w:eastAsia="en-GB"/>
        </w:rPr>
      </w:pPr>
      <w:r w:rsidRPr="001D167C">
        <w:rPr>
          <w:lang w:val="en-GB" w:eastAsia="en-GB"/>
        </w:rPr>
        <w:t xml:space="preserve">Our </w:t>
      </w:r>
      <w:r w:rsidR="00AE2541">
        <w:rPr>
          <w:lang w:val="en-GB" w:eastAsia="en-GB"/>
        </w:rPr>
        <w:t xml:space="preserve">external </w:t>
      </w:r>
      <w:r w:rsidRPr="001D167C">
        <w:rPr>
          <w:lang w:val="en-GB" w:eastAsia="en-GB"/>
        </w:rPr>
        <w:t>DPO service is provided by</w:t>
      </w:r>
      <w:r w:rsidRPr="00AE2541">
        <w:rPr>
          <w:lang w:val="en-GB" w:eastAsia="en-GB"/>
        </w:rPr>
        <w:t xml:space="preserve"> </w:t>
      </w:r>
      <w:r w:rsidRPr="000E3E2A">
        <w:rPr>
          <w:lang w:val="en-GB" w:eastAsia="en-GB"/>
        </w:rPr>
        <w:t>The Schools People</w:t>
      </w:r>
      <w:r w:rsidR="00AE2541">
        <w:rPr>
          <w:lang w:val="en-GB" w:eastAsia="en-GB"/>
        </w:rPr>
        <w:t>.</w:t>
      </w:r>
    </w:p>
    <w:p w14:paraId="484FAFB0" w14:textId="66F26A80" w:rsidR="00D06F0C" w:rsidRPr="000E3E2A" w:rsidRDefault="00AE2541" w:rsidP="000E3E2A">
      <w:pPr>
        <w:pStyle w:val="BodyText"/>
        <w:rPr>
          <w:rFonts w:ascii="Symbol" w:hAnsi="Symbol"/>
          <w:sz w:val="24"/>
        </w:rPr>
      </w:pPr>
      <w:r>
        <w:rPr>
          <w:lang w:val="en-GB" w:eastAsia="en-GB"/>
        </w:rPr>
        <w:t>Email</w:t>
      </w:r>
      <w:r w:rsidR="00827299">
        <w:rPr>
          <w:lang w:val="en-GB" w:eastAsia="en-GB"/>
        </w:rPr>
        <w:t>: DPOService@schoolspeople.co.uk</w:t>
      </w:r>
    </w:p>
    <w:p w14:paraId="3E2D29AE" w14:textId="77777777" w:rsidR="000A36D0" w:rsidRDefault="000A36D0" w:rsidP="000E3E2A">
      <w:pPr>
        <w:pStyle w:val="BodyText"/>
      </w:pPr>
    </w:p>
    <w:p w14:paraId="268548A7" w14:textId="57D0A816" w:rsidR="00254DCB" w:rsidRDefault="000C5E2A" w:rsidP="00742513">
      <w:pPr>
        <w:pStyle w:val="BodyText"/>
      </w:pPr>
      <w:r>
        <w:t>G</w:t>
      </w:r>
      <w:r w:rsidR="00866844">
        <w:t>eneral</w:t>
      </w:r>
      <w:r w:rsidR="00866844">
        <w:rPr>
          <w:spacing w:val="-3"/>
        </w:rPr>
        <w:t xml:space="preserve"> </w:t>
      </w:r>
      <w:r w:rsidR="00866844">
        <w:t>information</w:t>
      </w:r>
      <w:r w:rsidR="00866844">
        <w:rPr>
          <w:spacing w:val="-2"/>
        </w:rPr>
        <w:t xml:space="preserve"> </w:t>
      </w:r>
      <w:r w:rsidR="00866844">
        <w:t>about</w:t>
      </w:r>
      <w:r w:rsidR="00866844">
        <w:rPr>
          <w:spacing w:val="-5"/>
        </w:rPr>
        <w:t xml:space="preserve"> </w:t>
      </w:r>
      <w:r>
        <w:t xml:space="preserve">data protection </w:t>
      </w:r>
      <w:r w:rsidR="00866844">
        <w:t xml:space="preserve">is available from the </w:t>
      </w:r>
      <w:hyperlink r:id="rId13">
        <w:r w:rsidR="00866844">
          <w:rPr>
            <w:u w:val="single"/>
          </w:rPr>
          <w:t>Information Commission</w:t>
        </w:r>
      </w:hyperlink>
      <w:r w:rsidR="0084225F">
        <w:t xml:space="preserve">’s website </w:t>
      </w:r>
      <w:r w:rsidR="008A7FD3">
        <w:t xml:space="preserve"> </w:t>
      </w:r>
      <w:hyperlink r:id="rId14" w:history="1">
        <w:r w:rsidR="008A7FD3">
          <w:rPr>
            <w:rStyle w:val="Hyperlink"/>
          </w:rPr>
          <w:t>For the public | ICO</w:t>
        </w:r>
      </w:hyperlink>
      <w:r w:rsidR="000C2B3F">
        <w:t xml:space="preserve">  </w:t>
      </w:r>
    </w:p>
    <w:p w14:paraId="7E49FA7B" w14:textId="77777777" w:rsidR="00254DCB" w:rsidRDefault="00254DCB" w:rsidP="00742513">
      <w:pPr>
        <w:pStyle w:val="BodyText"/>
      </w:pPr>
    </w:p>
    <w:p w14:paraId="1D46ECC6" w14:textId="3D6FB3D0" w:rsidR="0079690E" w:rsidRDefault="008A7FD3" w:rsidP="000E3E2A">
      <w:pPr>
        <w:pStyle w:val="BodyText"/>
        <w:sectPr w:rsidR="0079690E">
          <w:footerReference w:type="default" r:id="rId15"/>
          <w:pgSz w:w="11910" w:h="16840"/>
          <w:pgMar w:top="800" w:right="1133" w:bottom="1200" w:left="992" w:header="0" w:footer="1002" w:gutter="0"/>
          <w:cols w:space="720"/>
        </w:sectPr>
      </w:pPr>
      <w:proofErr w:type="gramStart"/>
      <w:r>
        <w:t>Or</w:t>
      </w:r>
      <w:r w:rsidR="000C2B3F">
        <w:t>,</w:t>
      </w:r>
      <w:proofErr w:type="gramEnd"/>
      <w:r>
        <w:t xml:space="preserve"> write to</w:t>
      </w:r>
      <w:r w:rsidR="00AC08A8">
        <w:t xml:space="preserve">: The </w:t>
      </w:r>
      <w:r w:rsidR="00866844">
        <w:t>Information</w:t>
      </w:r>
      <w:r w:rsidR="00866844">
        <w:rPr>
          <w:spacing w:val="-15"/>
        </w:rPr>
        <w:t xml:space="preserve"> </w:t>
      </w:r>
      <w:r w:rsidR="00866844">
        <w:t>Commission</w:t>
      </w:r>
      <w:r w:rsidR="00AC08A8">
        <w:t>,</w:t>
      </w:r>
      <w:r w:rsidR="00866844">
        <w:t xml:space="preserve"> Wycliffe House</w:t>
      </w:r>
      <w:r w:rsidR="00AC08A8">
        <w:t xml:space="preserve">, </w:t>
      </w:r>
      <w:r w:rsidR="00866844">
        <w:t>Water</w:t>
      </w:r>
      <w:r w:rsidR="00866844">
        <w:rPr>
          <w:spacing w:val="-17"/>
        </w:rPr>
        <w:t xml:space="preserve"> </w:t>
      </w:r>
      <w:r w:rsidR="00866844">
        <w:t>Lane</w:t>
      </w:r>
      <w:r w:rsidR="00D106C5">
        <w:t>,</w:t>
      </w:r>
      <w:r w:rsidR="00866844">
        <w:t xml:space="preserve"> </w:t>
      </w:r>
      <w:r w:rsidR="00866844">
        <w:rPr>
          <w:spacing w:val="-2"/>
        </w:rPr>
        <w:t>Wilmslow</w:t>
      </w:r>
      <w:r w:rsidR="00D106C5">
        <w:rPr>
          <w:spacing w:val="-2"/>
        </w:rPr>
        <w:t>,</w:t>
      </w:r>
      <w:r w:rsidR="00866844">
        <w:rPr>
          <w:spacing w:val="-2"/>
        </w:rPr>
        <w:t xml:space="preserve"> Cheshire</w:t>
      </w:r>
      <w:r w:rsidR="00D106C5">
        <w:rPr>
          <w:spacing w:val="-2"/>
        </w:rPr>
        <w:t>.</w:t>
      </w:r>
      <w:r w:rsidR="00866844">
        <w:rPr>
          <w:spacing w:val="-2"/>
        </w:rPr>
        <w:t xml:space="preserve"> </w:t>
      </w:r>
      <w:r w:rsidR="00866844">
        <w:t>SK9 5AF</w:t>
      </w:r>
      <w:r w:rsidR="00254DCB">
        <w:t xml:space="preserve">. </w:t>
      </w:r>
      <w:r w:rsidR="00866844">
        <w:t>Tel:</w:t>
      </w:r>
      <w:r w:rsidR="00866844">
        <w:rPr>
          <w:spacing w:val="-1"/>
        </w:rPr>
        <w:t xml:space="preserve"> </w:t>
      </w:r>
      <w:r w:rsidR="00866844">
        <w:t>0303</w:t>
      </w:r>
      <w:r w:rsidR="00866844">
        <w:rPr>
          <w:spacing w:val="-3"/>
        </w:rPr>
        <w:t xml:space="preserve"> </w:t>
      </w:r>
      <w:r w:rsidR="00866844">
        <w:t>123</w:t>
      </w:r>
      <w:r w:rsidR="00866844">
        <w:rPr>
          <w:spacing w:val="-3"/>
        </w:rPr>
        <w:t xml:space="preserve"> </w:t>
      </w:r>
      <w:r w:rsidR="00866844">
        <w:t>1113</w:t>
      </w:r>
      <w:r w:rsidR="00AB484C">
        <w:t>.</w:t>
      </w:r>
    </w:p>
    <w:p w14:paraId="44F61E07" w14:textId="37953AFD" w:rsidR="0079690E" w:rsidRPr="00583A22" w:rsidRDefault="0079690E" w:rsidP="0079690E">
      <w:pPr>
        <w:pStyle w:val="Heading1"/>
        <w:rPr>
          <w:color w:val="000000" w:themeColor="text1"/>
        </w:rPr>
      </w:pPr>
      <w:r w:rsidRPr="00583A22">
        <w:rPr>
          <w:color w:val="000000" w:themeColor="text1"/>
        </w:rPr>
        <w:lastRenderedPageBreak/>
        <w:t>Comparison of Privacy Notice Revisions</w:t>
      </w:r>
      <w:r w:rsidR="00845722">
        <w:rPr>
          <w:color w:val="000000" w:themeColor="text1"/>
        </w:rPr>
        <w:t xml:space="preserve"> 2026</w:t>
      </w:r>
    </w:p>
    <w:p w14:paraId="30EAD1EE" w14:textId="77777777" w:rsidR="0079690E" w:rsidRDefault="0079690E" w:rsidP="0079690E">
      <w:r>
        <w:t>This document compares the original Move More Privacy Notice with the revised version and explains the rationale for each key change. It is intended to support governance oversight, regulatory assurance, and audit readiness.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3726"/>
        <w:gridCol w:w="6124"/>
      </w:tblGrid>
      <w:tr w:rsidR="0079690E" w14:paraId="4EFE7ACF" w14:textId="77777777" w:rsidTr="0079690E">
        <w:tc>
          <w:tcPr>
            <w:tcW w:w="2160" w:type="dxa"/>
            <w:shd w:val="clear" w:color="auto" w:fill="C6D9F1" w:themeFill="text2" w:themeFillTint="33"/>
          </w:tcPr>
          <w:p w14:paraId="3B8453B4" w14:textId="77777777" w:rsidR="0079690E" w:rsidRDefault="0079690E" w:rsidP="00C24115">
            <w:r>
              <w:t>Area</w:t>
            </w:r>
          </w:p>
        </w:tc>
        <w:tc>
          <w:tcPr>
            <w:tcW w:w="2160" w:type="dxa"/>
            <w:shd w:val="clear" w:color="auto" w:fill="C6D9F1" w:themeFill="text2" w:themeFillTint="33"/>
          </w:tcPr>
          <w:p w14:paraId="5E8BFBBA" w14:textId="77777777" w:rsidR="0079690E" w:rsidRDefault="0079690E" w:rsidP="00C24115">
            <w:r>
              <w:t>Original Privacy Notice</w:t>
            </w:r>
          </w:p>
        </w:tc>
        <w:tc>
          <w:tcPr>
            <w:tcW w:w="3726" w:type="dxa"/>
            <w:shd w:val="clear" w:color="auto" w:fill="C6D9F1" w:themeFill="text2" w:themeFillTint="33"/>
          </w:tcPr>
          <w:p w14:paraId="3B44F885" w14:textId="77777777" w:rsidR="0079690E" w:rsidRDefault="0079690E" w:rsidP="00C24115">
            <w:r>
              <w:t>Revised Privacy Notice</w:t>
            </w:r>
          </w:p>
        </w:tc>
        <w:tc>
          <w:tcPr>
            <w:tcW w:w="6124" w:type="dxa"/>
            <w:shd w:val="clear" w:color="auto" w:fill="C6D9F1" w:themeFill="text2" w:themeFillTint="33"/>
          </w:tcPr>
          <w:p w14:paraId="5FFEDA02" w14:textId="77777777" w:rsidR="0079690E" w:rsidRDefault="0079690E" w:rsidP="00C24115">
            <w:r>
              <w:t>Justification for Change</w:t>
            </w:r>
          </w:p>
        </w:tc>
      </w:tr>
      <w:tr w:rsidR="0079690E" w14:paraId="09F9DF7D" w14:textId="77777777" w:rsidTr="0079690E">
        <w:tc>
          <w:tcPr>
            <w:tcW w:w="2160" w:type="dxa"/>
          </w:tcPr>
          <w:p w14:paraId="13BA2940" w14:textId="77777777" w:rsidR="0079690E" w:rsidRDefault="0079690E" w:rsidP="00C24115">
            <w:r>
              <w:t>Overall structure</w:t>
            </w:r>
          </w:p>
        </w:tc>
        <w:tc>
          <w:tcPr>
            <w:tcW w:w="2160" w:type="dxa"/>
          </w:tcPr>
          <w:p w14:paraId="67CD2BC1" w14:textId="77777777" w:rsidR="0079690E" w:rsidRDefault="0079690E" w:rsidP="00C24115">
            <w:r>
              <w:t>Mixed policy and privacy content; repetitive sections</w:t>
            </w:r>
          </w:p>
        </w:tc>
        <w:tc>
          <w:tcPr>
            <w:tcW w:w="3726" w:type="dxa"/>
          </w:tcPr>
          <w:p w14:paraId="45146B19" w14:textId="77777777" w:rsidR="0079690E" w:rsidRDefault="0079690E" w:rsidP="00C24115">
            <w:r>
              <w:t>Clear Article 13–14 structure with logical flow</w:t>
            </w:r>
          </w:p>
        </w:tc>
        <w:tc>
          <w:tcPr>
            <w:tcW w:w="6124" w:type="dxa"/>
          </w:tcPr>
          <w:p w14:paraId="3B5D6BB5" w14:textId="77777777" w:rsidR="0079690E" w:rsidRDefault="0079690E" w:rsidP="00C24115">
            <w:r>
              <w:t>ICO guidance requires privacy notices to explain how data is used, not internal procedures.</w:t>
            </w:r>
          </w:p>
        </w:tc>
      </w:tr>
      <w:tr w:rsidR="0079690E" w14:paraId="68C9251D" w14:textId="77777777" w:rsidTr="0079690E">
        <w:tc>
          <w:tcPr>
            <w:tcW w:w="2160" w:type="dxa"/>
          </w:tcPr>
          <w:p w14:paraId="51FF84FE" w14:textId="77777777" w:rsidR="0079690E" w:rsidRDefault="0079690E" w:rsidP="00C24115">
            <w:r>
              <w:t>Legal framework</w:t>
            </w:r>
          </w:p>
        </w:tc>
        <w:tc>
          <w:tcPr>
            <w:tcW w:w="2160" w:type="dxa"/>
          </w:tcPr>
          <w:p w14:paraId="529DE228" w14:textId="77777777" w:rsidR="0079690E" w:rsidRDefault="0079690E" w:rsidP="00C24115">
            <w:r>
              <w:t>UK GDPR and DPA 2018 only</w:t>
            </w:r>
          </w:p>
        </w:tc>
        <w:tc>
          <w:tcPr>
            <w:tcW w:w="3726" w:type="dxa"/>
          </w:tcPr>
          <w:p w14:paraId="0DFA093A" w14:textId="77777777" w:rsidR="0079690E" w:rsidRDefault="0079690E" w:rsidP="00C24115">
            <w:r>
              <w:t>UK GDPR, DPA 2018 and DUAA 2025</w:t>
            </w:r>
          </w:p>
        </w:tc>
        <w:tc>
          <w:tcPr>
            <w:tcW w:w="6124" w:type="dxa"/>
          </w:tcPr>
          <w:p w14:paraId="4C40B0BD" w14:textId="77777777" w:rsidR="0079690E" w:rsidRDefault="0079690E" w:rsidP="00C24115">
            <w:r>
              <w:t>Reflects current law and updates complaints-handling requirements.</w:t>
            </w:r>
          </w:p>
        </w:tc>
      </w:tr>
      <w:tr w:rsidR="0079690E" w14:paraId="756965E4" w14:textId="77777777" w:rsidTr="0079690E">
        <w:tc>
          <w:tcPr>
            <w:tcW w:w="2160" w:type="dxa"/>
          </w:tcPr>
          <w:p w14:paraId="07A1BD4E" w14:textId="77777777" w:rsidR="0079690E" w:rsidRDefault="0079690E" w:rsidP="00C24115">
            <w:r>
              <w:t>Controller identification</w:t>
            </w:r>
          </w:p>
        </w:tc>
        <w:tc>
          <w:tcPr>
            <w:tcW w:w="2160" w:type="dxa"/>
          </w:tcPr>
          <w:p w14:paraId="62E7FECC" w14:textId="77777777" w:rsidR="0079690E" w:rsidRDefault="0079690E" w:rsidP="00C24115">
            <w:r>
              <w:t>Email contact only</w:t>
            </w:r>
          </w:p>
        </w:tc>
        <w:tc>
          <w:tcPr>
            <w:tcW w:w="3726" w:type="dxa"/>
          </w:tcPr>
          <w:p w14:paraId="7926D16A" w14:textId="77777777" w:rsidR="0079690E" w:rsidRDefault="0079690E" w:rsidP="00C24115">
            <w:r>
              <w:t>Named controller, postal address, ICO registration number</w:t>
            </w:r>
          </w:p>
        </w:tc>
        <w:tc>
          <w:tcPr>
            <w:tcW w:w="6124" w:type="dxa"/>
          </w:tcPr>
          <w:p w14:paraId="613CD2A1" w14:textId="77777777" w:rsidR="0079690E" w:rsidRDefault="0079690E" w:rsidP="00C24115">
            <w:r>
              <w:t>Required under Article 13 UK GDPR for transparency.</w:t>
            </w:r>
          </w:p>
        </w:tc>
      </w:tr>
      <w:tr w:rsidR="0079690E" w14:paraId="5CA39D43" w14:textId="77777777" w:rsidTr="0079690E">
        <w:tc>
          <w:tcPr>
            <w:tcW w:w="2160" w:type="dxa"/>
          </w:tcPr>
          <w:p w14:paraId="6776E23F" w14:textId="77777777" w:rsidR="0079690E" w:rsidRDefault="0079690E" w:rsidP="00C24115">
            <w:r>
              <w:t>Data Protection Officer</w:t>
            </w:r>
          </w:p>
        </w:tc>
        <w:tc>
          <w:tcPr>
            <w:tcW w:w="2160" w:type="dxa"/>
          </w:tcPr>
          <w:p w14:paraId="56D285FE" w14:textId="77777777" w:rsidR="0079690E" w:rsidRDefault="0079690E" w:rsidP="00C24115">
            <w:r>
              <w:t>No DPO identified</w:t>
            </w:r>
          </w:p>
        </w:tc>
        <w:tc>
          <w:tcPr>
            <w:tcW w:w="3726" w:type="dxa"/>
          </w:tcPr>
          <w:p w14:paraId="656B4BD2" w14:textId="77777777" w:rsidR="0079690E" w:rsidRDefault="0079690E" w:rsidP="00C24115">
            <w:r>
              <w:t>External DPO clearly identified</w:t>
            </w:r>
          </w:p>
        </w:tc>
        <w:tc>
          <w:tcPr>
            <w:tcW w:w="6124" w:type="dxa"/>
          </w:tcPr>
          <w:p w14:paraId="60489C5E" w14:textId="77777777" w:rsidR="0079690E" w:rsidRDefault="0079690E" w:rsidP="00C24115">
            <w:r>
              <w:t>Improves accountability and aligns with modern governance expectations.</w:t>
            </w:r>
          </w:p>
        </w:tc>
      </w:tr>
      <w:tr w:rsidR="0079690E" w14:paraId="5921B2A3" w14:textId="77777777" w:rsidTr="0079690E">
        <w:tc>
          <w:tcPr>
            <w:tcW w:w="2160" w:type="dxa"/>
          </w:tcPr>
          <w:p w14:paraId="0BD4E863" w14:textId="77777777" w:rsidR="0079690E" w:rsidRDefault="0079690E" w:rsidP="00C24115">
            <w:r>
              <w:t>Purposes for processing</w:t>
            </w:r>
          </w:p>
        </w:tc>
        <w:tc>
          <w:tcPr>
            <w:tcW w:w="2160" w:type="dxa"/>
          </w:tcPr>
          <w:p w14:paraId="01E3D7AA" w14:textId="77777777" w:rsidR="0079690E" w:rsidRDefault="0079690E" w:rsidP="00C24115">
            <w:r>
              <w:t>Vague and repetitive legal wording</w:t>
            </w:r>
          </w:p>
        </w:tc>
        <w:tc>
          <w:tcPr>
            <w:tcW w:w="3726" w:type="dxa"/>
          </w:tcPr>
          <w:p w14:paraId="1CD542FE" w14:textId="77777777" w:rsidR="0079690E" w:rsidRDefault="0079690E" w:rsidP="00C24115">
            <w:r>
              <w:t>Clear, specific, purpose-based explanations</w:t>
            </w:r>
          </w:p>
        </w:tc>
        <w:tc>
          <w:tcPr>
            <w:tcW w:w="6124" w:type="dxa"/>
          </w:tcPr>
          <w:p w14:paraId="3C77C086" w14:textId="77777777" w:rsidR="0079690E" w:rsidRDefault="0079690E" w:rsidP="00C24115">
            <w:r>
              <w:t>Article 13 requires specific and intelligible purposes.</w:t>
            </w:r>
          </w:p>
        </w:tc>
      </w:tr>
      <w:tr w:rsidR="0079690E" w14:paraId="0F1291FE" w14:textId="77777777" w:rsidTr="0079690E">
        <w:tc>
          <w:tcPr>
            <w:tcW w:w="2160" w:type="dxa"/>
          </w:tcPr>
          <w:p w14:paraId="7CCF0EDF" w14:textId="77777777" w:rsidR="0079690E" w:rsidRDefault="0079690E" w:rsidP="00C24115">
            <w:r>
              <w:t>Special category data</w:t>
            </w:r>
          </w:p>
        </w:tc>
        <w:tc>
          <w:tcPr>
            <w:tcW w:w="2160" w:type="dxa"/>
          </w:tcPr>
          <w:p w14:paraId="2E7A844A" w14:textId="77777777" w:rsidR="0079690E" w:rsidRDefault="0079690E" w:rsidP="00C24115">
            <w:r>
              <w:t>Relied largely on consent; outdated terminology</w:t>
            </w:r>
          </w:p>
        </w:tc>
        <w:tc>
          <w:tcPr>
            <w:tcW w:w="3726" w:type="dxa"/>
          </w:tcPr>
          <w:p w14:paraId="2D31C75A" w14:textId="77777777" w:rsidR="0079690E" w:rsidRDefault="0079690E" w:rsidP="00C24115">
            <w:r>
              <w:t>Correct terminology with Article 9 conditions explained</w:t>
            </w:r>
          </w:p>
        </w:tc>
        <w:tc>
          <w:tcPr>
            <w:tcW w:w="6124" w:type="dxa"/>
          </w:tcPr>
          <w:p w14:paraId="69B99193" w14:textId="77777777" w:rsidR="0079690E" w:rsidRDefault="0079690E" w:rsidP="00C24115">
            <w:r>
              <w:t>Ensures legal accuracy, especially for safeguarding-related processing.</w:t>
            </w:r>
          </w:p>
        </w:tc>
      </w:tr>
      <w:tr w:rsidR="0079690E" w14:paraId="021C3DBB" w14:textId="77777777" w:rsidTr="0079690E">
        <w:tc>
          <w:tcPr>
            <w:tcW w:w="2160" w:type="dxa"/>
          </w:tcPr>
          <w:p w14:paraId="56776BBA" w14:textId="77777777" w:rsidR="0079690E" w:rsidRDefault="0079690E" w:rsidP="00C24115">
            <w:r>
              <w:t>Data sharing</w:t>
            </w:r>
          </w:p>
        </w:tc>
        <w:tc>
          <w:tcPr>
            <w:tcW w:w="2160" w:type="dxa"/>
          </w:tcPr>
          <w:p w14:paraId="3E6CB016" w14:textId="77777777" w:rsidR="0079690E" w:rsidRDefault="0079690E" w:rsidP="00C24115">
            <w:r>
              <w:t>Consent-focused, repetitive, unclear recipients</w:t>
            </w:r>
          </w:p>
        </w:tc>
        <w:tc>
          <w:tcPr>
            <w:tcW w:w="3726" w:type="dxa"/>
          </w:tcPr>
          <w:p w14:paraId="6AAC1CF2" w14:textId="77777777" w:rsidR="0079690E" w:rsidRDefault="0079690E" w:rsidP="00C24115">
            <w:r>
              <w:t>Clear categories and processor controls</w:t>
            </w:r>
          </w:p>
        </w:tc>
        <w:tc>
          <w:tcPr>
            <w:tcW w:w="6124" w:type="dxa"/>
          </w:tcPr>
          <w:p w14:paraId="67DF71C3" w14:textId="77777777" w:rsidR="0079690E" w:rsidRDefault="0079690E" w:rsidP="00C24115">
            <w:r>
              <w:t>Aligns with Articles 5 and 28 UK GDPR.</w:t>
            </w:r>
          </w:p>
        </w:tc>
      </w:tr>
      <w:tr w:rsidR="0079690E" w14:paraId="558CDB02" w14:textId="77777777" w:rsidTr="0079690E">
        <w:tc>
          <w:tcPr>
            <w:tcW w:w="2160" w:type="dxa"/>
          </w:tcPr>
          <w:p w14:paraId="1078D407" w14:textId="77777777" w:rsidR="0079690E" w:rsidRDefault="0079690E" w:rsidP="00C24115">
            <w:r>
              <w:t>International transfers</w:t>
            </w:r>
          </w:p>
        </w:tc>
        <w:tc>
          <w:tcPr>
            <w:tcW w:w="2160" w:type="dxa"/>
          </w:tcPr>
          <w:p w14:paraId="066AC0A7" w14:textId="77777777" w:rsidR="0079690E" w:rsidRDefault="0079690E" w:rsidP="00C24115">
            <w:r>
              <w:t>Little or no coverage</w:t>
            </w:r>
          </w:p>
        </w:tc>
        <w:tc>
          <w:tcPr>
            <w:tcW w:w="3726" w:type="dxa"/>
          </w:tcPr>
          <w:p w14:paraId="486D8250" w14:textId="77777777" w:rsidR="0079690E" w:rsidRDefault="0079690E" w:rsidP="00C24115">
            <w:r>
              <w:t>Adequacy, IDTA, TRA and derogations covered</w:t>
            </w:r>
          </w:p>
        </w:tc>
        <w:tc>
          <w:tcPr>
            <w:tcW w:w="6124" w:type="dxa"/>
          </w:tcPr>
          <w:p w14:paraId="2C2D0105" w14:textId="77777777" w:rsidR="0079690E" w:rsidRDefault="0079690E" w:rsidP="00C24115">
            <w:r>
              <w:t>Meets current ICO expectations post-Schrems II.</w:t>
            </w:r>
          </w:p>
        </w:tc>
      </w:tr>
      <w:tr w:rsidR="0079690E" w14:paraId="08CC1DEF" w14:textId="77777777" w:rsidTr="0079690E">
        <w:tc>
          <w:tcPr>
            <w:tcW w:w="2160" w:type="dxa"/>
          </w:tcPr>
          <w:p w14:paraId="17BAAC6D" w14:textId="77777777" w:rsidR="0079690E" w:rsidRDefault="0079690E" w:rsidP="00C24115">
            <w:r>
              <w:t>Individual rights</w:t>
            </w:r>
          </w:p>
        </w:tc>
        <w:tc>
          <w:tcPr>
            <w:tcW w:w="2160" w:type="dxa"/>
          </w:tcPr>
          <w:p w14:paraId="6F759D1F" w14:textId="77777777" w:rsidR="0079690E" w:rsidRDefault="0079690E" w:rsidP="00C24115">
            <w:r>
              <w:t>Partial rights list and procedural detail</w:t>
            </w:r>
          </w:p>
        </w:tc>
        <w:tc>
          <w:tcPr>
            <w:tcW w:w="3726" w:type="dxa"/>
          </w:tcPr>
          <w:p w14:paraId="0E19B210" w14:textId="77777777" w:rsidR="0079690E" w:rsidRDefault="0079690E" w:rsidP="00C24115">
            <w:r>
              <w:t>Full Articles 13–22 rights clearly stated</w:t>
            </w:r>
          </w:p>
        </w:tc>
        <w:tc>
          <w:tcPr>
            <w:tcW w:w="6124" w:type="dxa"/>
          </w:tcPr>
          <w:p w14:paraId="0AD0D6C6" w14:textId="77777777" w:rsidR="0079690E" w:rsidRDefault="0079690E" w:rsidP="00C24115">
            <w:r>
              <w:t>Ensures completeness and reduces misinterpretation risk.</w:t>
            </w:r>
          </w:p>
        </w:tc>
      </w:tr>
      <w:tr w:rsidR="0079690E" w14:paraId="476A4280" w14:textId="77777777" w:rsidTr="0079690E">
        <w:tc>
          <w:tcPr>
            <w:tcW w:w="2160" w:type="dxa"/>
          </w:tcPr>
          <w:p w14:paraId="19A50F8D" w14:textId="77777777" w:rsidR="0079690E" w:rsidRDefault="0079690E" w:rsidP="00C24115">
            <w:r>
              <w:t>Complaints handling</w:t>
            </w:r>
          </w:p>
        </w:tc>
        <w:tc>
          <w:tcPr>
            <w:tcW w:w="2160" w:type="dxa"/>
          </w:tcPr>
          <w:p w14:paraId="6C5250C3" w14:textId="77777777" w:rsidR="0079690E" w:rsidRDefault="0079690E" w:rsidP="00C24115">
            <w:r>
              <w:t>Direct ICO complaint route</w:t>
            </w:r>
          </w:p>
        </w:tc>
        <w:tc>
          <w:tcPr>
            <w:tcW w:w="3726" w:type="dxa"/>
          </w:tcPr>
          <w:p w14:paraId="2CF1400D" w14:textId="77777777" w:rsidR="0079690E" w:rsidRDefault="0079690E" w:rsidP="00C24115">
            <w:r>
              <w:t>Controller-first complaints under DUAA 2025</w:t>
            </w:r>
          </w:p>
        </w:tc>
        <w:tc>
          <w:tcPr>
            <w:tcW w:w="6124" w:type="dxa"/>
          </w:tcPr>
          <w:p w14:paraId="3E330C43" w14:textId="77777777" w:rsidR="0079690E" w:rsidRDefault="0079690E" w:rsidP="00C24115">
            <w:r>
              <w:t>Legally required update to reflect DUAA reforms.</w:t>
            </w:r>
          </w:p>
        </w:tc>
      </w:tr>
    </w:tbl>
    <w:p w14:paraId="3E2D29B3" w14:textId="53C4230E" w:rsidR="000A36D0" w:rsidRDefault="000A36D0" w:rsidP="0079690E">
      <w:pPr>
        <w:pStyle w:val="BodyText"/>
        <w:ind w:right="1090"/>
      </w:pPr>
    </w:p>
    <w:p w14:paraId="5F9687F9" w14:textId="77777777" w:rsidR="0079690E" w:rsidRDefault="0079690E" w:rsidP="000E3E2A">
      <w:pPr>
        <w:pStyle w:val="BodyText"/>
      </w:pPr>
    </w:p>
    <w:p w14:paraId="5B2B3F72" w14:textId="77777777" w:rsidR="0079690E" w:rsidRDefault="0079690E" w:rsidP="000E3E2A">
      <w:pPr>
        <w:pStyle w:val="BodyText"/>
      </w:pPr>
    </w:p>
    <w:p w14:paraId="6C717C0E" w14:textId="77777777" w:rsidR="0079690E" w:rsidRDefault="0079690E" w:rsidP="000E3E2A">
      <w:pPr>
        <w:pStyle w:val="BodyText"/>
      </w:pPr>
    </w:p>
    <w:sectPr w:rsidR="0079690E" w:rsidSect="0079690E">
      <w:pgSz w:w="16840" w:h="11910" w:orient="landscape"/>
      <w:pgMar w:top="992" w:right="1247" w:bottom="1133" w:left="1200" w:header="0" w:footer="10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D9F7" w14:textId="77777777" w:rsidR="00DC0EA1" w:rsidRDefault="00DC0EA1">
      <w:r>
        <w:separator/>
      </w:r>
    </w:p>
  </w:endnote>
  <w:endnote w:type="continuationSeparator" w:id="0">
    <w:p w14:paraId="527EAB74" w14:textId="77777777" w:rsidR="00DC0EA1" w:rsidRDefault="00DC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29B6" w14:textId="77777777" w:rsidR="000A36D0" w:rsidRDefault="00866844" w:rsidP="000E3E2A">
    <w:pPr>
      <w:pStyle w:val="BodyText"/>
    </w:pPr>
    <w:r>
      <w:rPr>
        <w:noProof/>
      </w:rPr>
      <mc:AlternateContent>
        <mc:Choice Requires="wps">
          <w:drawing>
            <wp:anchor distT="0" distB="0" distL="0" distR="0" simplePos="0" relativeHeight="251658240" behindDoc="1" locked="0" layoutInCell="1" allowOverlap="1" wp14:anchorId="3E2D29B7" wp14:editId="3E2D29B8">
              <wp:simplePos x="0" y="0"/>
              <wp:positionH relativeFrom="page">
                <wp:posOffset>6731507</wp:posOffset>
              </wp:positionH>
              <wp:positionV relativeFrom="page">
                <wp:posOffset>9916159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E2D29B9" w14:textId="77777777" w:rsidR="000A36D0" w:rsidRDefault="0086684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E2D29B7" id="_x0000_t202" coordsize="21600,21600" o:spt="202" path="m,l,21600r21600,l21600,xe">
              <v:stroke joinstyle="miter"/>
              <v:path gradientshapeok="t" o:connecttype="rect"/>
            </v:shapetype>
            <v:shape id="Textbox 1" o:spid="_x0000_s1026" type="#_x0000_t202" style="position:absolute;left:0;text-align:left;margin-left:530.05pt;margin-top:780.8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" filled="f" stroked="f">
              <v:textbox inset="0,0,0,0">
                <w:txbxContent>
                  <w:p w14:paraId="3E2D29B9" w14:textId="77777777" w:rsidR="000A36D0" w:rsidRDefault="0086684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21C6" w14:textId="77777777" w:rsidR="00DC0EA1" w:rsidRDefault="00DC0EA1">
      <w:r>
        <w:separator/>
      </w:r>
    </w:p>
  </w:footnote>
  <w:footnote w:type="continuationSeparator" w:id="0">
    <w:p w14:paraId="1DD24BCF" w14:textId="77777777" w:rsidR="00DC0EA1" w:rsidRDefault="00DC0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772A"/>
    <w:multiLevelType w:val="hybridMultilevel"/>
    <w:tmpl w:val="889E81F8"/>
    <w:lvl w:ilvl="0" w:tplc="DCD0AD76">
      <w:start w:val="1"/>
      <w:numFmt w:val="bullet"/>
      <w:pStyle w:val="Bullets"/>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5F7285F"/>
    <w:multiLevelType w:val="multilevel"/>
    <w:tmpl w:val="1F40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D6794"/>
    <w:multiLevelType w:val="multilevel"/>
    <w:tmpl w:val="B3AA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A1C6E"/>
    <w:multiLevelType w:val="multilevel"/>
    <w:tmpl w:val="C24E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E3D5C"/>
    <w:multiLevelType w:val="hybridMultilevel"/>
    <w:tmpl w:val="68C021DE"/>
    <w:lvl w:ilvl="0" w:tplc="BF84B708">
      <w:numFmt w:val="bullet"/>
      <w:lvlText w:val=""/>
      <w:lvlJc w:val="left"/>
      <w:pPr>
        <w:ind w:left="635" w:hanging="360"/>
      </w:pPr>
      <w:rPr>
        <w:rFonts w:ascii="Symbol" w:eastAsia="Symbol" w:hAnsi="Symbol" w:cs="Symbol" w:hint="default"/>
        <w:b w:val="0"/>
        <w:bCs w:val="0"/>
        <w:i w:val="0"/>
        <w:iCs w:val="0"/>
        <w:spacing w:val="0"/>
        <w:w w:val="99"/>
        <w:sz w:val="20"/>
        <w:szCs w:val="20"/>
        <w:lang w:val="en-US" w:eastAsia="en-US" w:bidi="ar-SA"/>
      </w:rPr>
    </w:lvl>
    <w:lvl w:ilvl="1" w:tplc="35625CB2">
      <w:numFmt w:val="bullet"/>
      <w:lvlText w:val="•"/>
      <w:lvlJc w:val="left"/>
      <w:pPr>
        <w:ind w:left="1554" w:hanging="360"/>
      </w:pPr>
      <w:rPr>
        <w:rFonts w:hint="default"/>
        <w:lang w:val="en-US" w:eastAsia="en-US" w:bidi="ar-SA"/>
      </w:rPr>
    </w:lvl>
    <w:lvl w:ilvl="2" w:tplc="796C8480">
      <w:numFmt w:val="bullet"/>
      <w:lvlText w:val="•"/>
      <w:lvlJc w:val="left"/>
      <w:pPr>
        <w:ind w:left="2468" w:hanging="360"/>
      </w:pPr>
      <w:rPr>
        <w:rFonts w:hint="default"/>
        <w:lang w:val="en-US" w:eastAsia="en-US" w:bidi="ar-SA"/>
      </w:rPr>
    </w:lvl>
    <w:lvl w:ilvl="3" w:tplc="8700AA60">
      <w:numFmt w:val="bullet"/>
      <w:lvlText w:val="•"/>
      <w:lvlJc w:val="left"/>
      <w:pPr>
        <w:ind w:left="3382" w:hanging="360"/>
      </w:pPr>
      <w:rPr>
        <w:rFonts w:hint="default"/>
        <w:lang w:val="en-US" w:eastAsia="en-US" w:bidi="ar-SA"/>
      </w:rPr>
    </w:lvl>
    <w:lvl w:ilvl="4" w:tplc="B5C27F3C">
      <w:numFmt w:val="bullet"/>
      <w:lvlText w:val="•"/>
      <w:lvlJc w:val="left"/>
      <w:pPr>
        <w:ind w:left="4296" w:hanging="360"/>
      </w:pPr>
      <w:rPr>
        <w:rFonts w:hint="default"/>
        <w:lang w:val="en-US" w:eastAsia="en-US" w:bidi="ar-SA"/>
      </w:rPr>
    </w:lvl>
    <w:lvl w:ilvl="5" w:tplc="B8BEF43A">
      <w:numFmt w:val="bullet"/>
      <w:lvlText w:val="•"/>
      <w:lvlJc w:val="left"/>
      <w:pPr>
        <w:ind w:left="5210" w:hanging="360"/>
      </w:pPr>
      <w:rPr>
        <w:rFonts w:hint="default"/>
        <w:lang w:val="en-US" w:eastAsia="en-US" w:bidi="ar-SA"/>
      </w:rPr>
    </w:lvl>
    <w:lvl w:ilvl="6" w:tplc="1E52B4C0">
      <w:numFmt w:val="bullet"/>
      <w:lvlText w:val="•"/>
      <w:lvlJc w:val="left"/>
      <w:pPr>
        <w:ind w:left="6124" w:hanging="360"/>
      </w:pPr>
      <w:rPr>
        <w:rFonts w:hint="default"/>
        <w:lang w:val="en-US" w:eastAsia="en-US" w:bidi="ar-SA"/>
      </w:rPr>
    </w:lvl>
    <w:lvl w:ilvl="7" w:tplc="D9FA01F2">
      <w:numFmt w:val="bullet"/>
      <w:lvlText w:val="•"/>
      <w:lvlJc w:val="left"/>
      <w:pPr>
        <w:ind w:left="7038" w:hanging="360"/>
      </w:pPr>
      <w:rPr>
        <w:rFonts w:hint="default"/>
        <w:lang w:val="en-US" w:eastAsia="en-US" w:bidi="ar-SA"/>
      </w:rPr>
    </w:lvl>
    <w:lvl w:ilvl="8" w:tplc="04FA42FA">
      <w:numFmt w:val="bullet"/>
      <w:lvlText w:val="•"/>
      <w:lvlJc w:val="left"/>
      <w:pPr>
        <w:ind w:left="7953" w:hanging="360"/>
      </w:pPr>
      <w:rPr>
        <w:rFonts w:hint="default"/>
        <w:lang w:val="en-US" w:eastAsia="en-US" w:bidi="ar-SA"/>
      </w:rPr>
    </w:lvl>
  </w:abstractNum>
  <w:abstractNum w:abstractNumId="5" w15:restartNumberingAfterBreak="0">
    <w:nsid w:val="5A9D78A8"/>
    <w:multiLevelType w:val="multilevel"/>
    <w:tmpl w:val="14E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86C3F"/>
    <w:multiLevelType w:val="multilevel"/>
    <w:tmpl w:val="00F8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604CD"/>
    <w:multiLevelType w:val="hybridMultilevel"/>
    <w:tmpl w:val="9F2CD146"/>
    <w:lvl w:ilvl="0" w:tplc="E0EEBE1C">
      <w:numFmt w:val="bullet"/>
      <w:lvlText w:val=""/>
      <w:lvlJc w:val="left"/>
      <w:pPr>
        <w:ind w:left="860" w:hanging="360"/>
      </w:pPr>
      <w:rPr>
        <w:rFonts w:ascii="Symbol" w:eastAsia="Symbol" w:hAnsi="Symbol" w:cs="Symbol" w:hint="default"/>
        <w:spacing w:val="0"/>
        <w:w w:val="99"/>
        <w:lang w:val="en-US" w:eastAsia="en-US" w:bidi="ar-SA"/>
      </w:rPr>
    </w:lvl>
    <w:lvl w:ilvl="1" w:tplc="D0C83D84">
      <w:numFmt w:val="bullet"/>
      <w:lvlText w:val="•"/>
      <w:lvlJc w:val="left"/>
      <w:pPr>
        <w:ind w:left="1752" w:hanging="360"/>
      </w:pPr>
      <w:rPr>
        <w:rFonts w:hint="default"/>
        <w:lang w:val="en-US" w:eastAsia="en-US" w:bidi="ar-SA"/>
      </w:rPr>
    </w:lvl>
    <w:lvl w:ilvl="2" w:tplc="82104296">
      <w:numFmt w:val="bullet"/>
      <w:lvlText w:val="•"/>
      <w:lvlJc w:val="left"/>
      <w:pPr>
        <w:ind w:left="2644" w:hanging="360"/>
      </w:pPr>
      <w:rPr>
        <w:rFonts w:hint="default"/>
        <w:lang w:val="en-US" w:eastAsia="en-US" w:bidi="ar-SA"/>
      </w:rPr>
    </w:lvl>
    <w:lvl w:ilvl="3" w:tplc="C1823800">
      <w:numFmt w:val="bullet"/>
      <w:lvlText w:val="•"/>
      <w:lvlJc w:val="left"/>
      <w:pPr>
        <w:ind w:left="3536" w:hanging="360"/>
      </w:pPr>
      <w:rPr>
        <w:rFonts w:hint="default"/>
        <w:lang w:val="en-US" w:eastAsia="en-US" w:bidi="ar-SA"/>
      </w:rPr>
    </w:lvl>
    <w:lvl w:ilvl="4" w:tplc="D27C592E">
      <w:numFmt w:val="bullet"/>
      <w:lvlText w:val="•"/>
      <w:lvlJc w:val="left"/>
      <w:pPr>
        <w:ind w:left="4428" w:hanging="360"/>
      </w:pPr>
      <w:rPr>
        <w:rFonts w:hint="default"/>
        <w:lang w:val="en-US" w:eastAsia="en-US" w:bidi="ar-SA"/>
      </w:rPr>
    </w:lvl>
    <w:lvl w:ilvl="5" w:tplc="CB840686">
      <w:numFmt w:val="bullet"/>
      <w:lvlText w:val="•"/>
      <w:lvlJc w:val="left"/>
      <w:pPr>
        <w:ind w:left="5320" w:hanging="360"/>
      </w:pPr>
      <w:rPr>
        <w:rFonts w:hint="default"/>
        <w:lang w:val="en-US" w:eastAsia="en-US" w:bidi="ar-SA"/>
      </w:rPr>
    </w:lvl>
    <w:lvl w:ilvl="6" w:tplc="B08ECB86">
      <w:numFmt w:val="bullet"/>
      <w:lvlText w:val="•"/>
      <w:lvlJc w:val="left"/>
      <w:pPr>
        <w:ind w:left="6212" w:hanging="360"/>
      </w:pPr>
      <w:rPr>
        <w:rFonts w:hint="default"/>
        <w:lang w:val="en-US" w:eastAsia="en-US" w:bidi="ar-SA"/>
      </w:rPr>
    </w:lvl>
    <w:lvl w:ilvl="7" w:tplc="4CA02402">
      <w:numFmt w:val="bullet"/>
      <w:lvlText w:val="•"/>
      <w:lvlJc w:val="left"/>
      <w:pPr>
        <w:ind w:left="7104" w:hanging="360"/>
      </w:pPr>
      <w:rPr>
        <w:rFonts w:hint="default"/>
        <w:lang w:val="en-US" w:eastAsia="en-US" w:bidi="ar-SA"/>
      </w:rPr>
    </w:lvl>
    <w:lvl w:ilvl="8" w:tplc="C87A7044">
      <w:numFmt w:val="bullet"/>
      <w:lvlText w:val="•"/>
      <w:lvlJc w:val="left"/>
      <w:pPr>
        <w:ind w:left="7997" w:hanging="360"/>
      </w:pPr>
      <w:rPr>
        <w:rFonts w:hint="default"/>
        <w:lang w:val="en-US" w:eastAsia="en-US" w:bidi="ar-SA"/>
      </w:rPr>
    </w:lvl>
  </w:abstractNum>
  <w:abstractNum w:abstractNumId="8" w15:restartNumberingAfterBreak="0">
    <w:nsid w:val="6AB850DC"/>
    <w:multiLevelType w:val="multilevel"/>
    <w:tmpl w:val="B6D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10AFA"/>
    <w:multiLevelType w:val="multilevel"/>
    <w:tmpl w:val="B82C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37854"/>
    <w:multiLevelType w:val="multilevel"/>
    <w:tmpl w:val="1CC6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518516">
    <w:abstractNumId w:val="7"/>
  </w:num>
  <w:num w:numId="2" w16cid:durableId="1019745628">
    <w:abstractNumId w:val="4"/>
  </w:num>
  <w:num w:numId="3" w16cid:durableId="1363633645">
    <w:abstractNumId w:val="0"/>
  </w:num>
  <w:num w:numId="4" w16cid:durableId="690835361">
    <w:abstractNumId w:val="0"/>
  </w:num>
  <w:num w:numId="5" w16cid:durableId="1050572498">
    <w:abstractNumId w:val="3"/>
  </w:num>
  <w:num w:numId="6" w16cid:durableId="830832273">
    <w:abstractNumId w:val="2"/>
  </w:num>
  <w:num w:numId="7" w16cid:durableId="2112971602">
    <w:abstractNumId w:val="1"/>
  </w:num>
  <w:num w:numId="8" w16cid:durableId="358969637">
    <w:abstractNumId w:val="5"/>
  </w:num>
  <w:num w:numId="9" w16cid:durableId="151486296">
    <w:abstractNumId w:val="6"/>
  </w:num>
  <w:num w:numId="10" w16cid:durableId="1238438979">
    <w:abstractNumId w:val="8"/>
  </w:num>
  <w:num w:numId="11" w16cid:durableId="280647409">
    <w:abstractNumId w:val="9"/>
  </w:num>
  <w:num w:numId="12" w16cid:durableId="969821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D0"/>
    <w:rsid w:val="000015FC"/>
    <w:rsid w:val="00030B4D"/>
    <w:rsid w:val="00033427"/>
    <w:rsid w:val="000669D2"/>
    <w:rsid w:val="00072C41"/>
    <w:rsid w:val="00077FBC"/>
    <w:rsid w:val="00082AC1"/>
    <w:rsid w:val="000A36D0"/>
    <w:rsid w:val="000B2873"/>
    <w:rsid w:val="000C2B3F"/>
    <w:rsid w:val="000C5E2A"/>
    <w:rsid w:val="000E1781"/>
    <w:rsid w:val="000E3E2A"/>
    <w:rsid w:val="001028E5"/>
    <w:rsid w:val="0013619F"/>
    <w:rsid w:val="0017399E"/>
    <w:rsid w:val="0017587B"/>
    <w:rsid w:val="00193684"/>
    <w:rsid w:val="001B708F"/>
    <w:rsid w:val="001D167C"/>
    <w:rsid w:val="001D64A9"/>
    <w:rsid w:val="001D6DFD"/>
    <w:rsid w:val="00204BE9"/>
    <w:rsid w:val="002222BB"/>
    <w:rsid w:val="002447E8"/>
    <w:rsid w:val="00250A38"/>
    <w:rsid w:val="00254DCB"/>
    <w:rsid w:val="00295A75"/>
    <w:rsid w:val="002A7C8E"/>
    <w:rsid w:val="00331010"/>
    <w:rsid w:val="00355002"/>
    <w:rsid w:val="0035587E"/>
    <w:rsid w:val="0037128B"/>
    <w:rsid w:val="00377B94"/>
    <w:rsid w:val="0038286D"/>
    <w:rsid w:val="00383679"/>
    <w:rsid w:val="00386616"/>
    <w:rsid w:val="003B21D2"/>
    <w:rsid w:val="003C72E5"/>
    <w:rsid w:val="003F0B39"/>
    <w:rsid w:val="00400AD8"/>
    <w:rsid w:val="00496733"/>
    <w:rsid w:val="004B677D"/>
    <w:rsid w:val="004F47F5"/>
    <w:rsid w:val="00527357"/>
    <w:rsid w:val="00534898"/>
    <w:rsid w:val="00540851"/>
    <w:rsid w:val="0054102E"/>
    <w:rsid w:val="00552BAE"/>
    <w:rsid w:val="005721EF"/>
    <w:rsid w:val="00591B25"/>
    <w:rsid w:val="005A01B5"/>
    <w:rsid w:val="005D1E0F"/>
    <w:rsid w:val="00612031"/>
    <w:rsid w:val="00617753"/>
    <w:rsid w:val="00691986"/>
    <w:rsid w:val="006C3D82"/>
    <w:rsid w:val="00701880"/>
    <w:rsid w:val="007063D5"/>
    <w:rsid w:val="007076E2"/>
    <w:rsid w:val="007162F3"/>
    <w:rsid w:val="00716BF5"/>
    <w:rsid w:val="00717F10"/>
    <w:rsid w:val="007329D9"/>
    <w:rsid w:val="00742513"/>
    <w:rsid w:val="00747B9C"/>
    <w:rsid w:val="00752DE3"/>
    <w:rsid w:val="00784DA1"/>
    <w:rsid w:val="007938D4"/>
    <w:rsid w:val="0079690E"/>
    <w:rsid w:val="007F449B"/>
    <w:rsid w:val="00811585"/>
    <w:rsid w:val="00815180"/>
    <w:rsid w:val="00827299"/>
    <w:rsid w:val="0084225F"/>
    <w:rsid w:val="00845722"/>
    <w:rsid w:val="00864BAB"/>
    <w:rsid w:val="00866844"/>
    <w:rsid w:val="00883C7E"/>
    <w:rsid w:val="008A7FD3"/>
    <w:rsid w:val="008E3CB0"/>
    <w:rsid w:val="008E6F2F"/>
    <w:rsid w:val="008F07A5"/>
    <w:rsid w:val="009111C8"/>
    <w:rsid w:val="00916C87"/>
    <w:rsid w:val="00945C62"/>
    <w:rsid w:val="00951E28"/>
    <w:rsid w:val="00996C33"/>
    <w:rsid w:val="009A5D1C"/>
    <w:rsid w:val="009F4F2A"/>
    <w:rsid w:val="00A04FB8"/>
    <w:rsid w:val="00A07236"/>
    <w:rsid w:val="00A10544"/>
    <w:rsid w:val="00A44827"/>
    <w:rsid w:val="00A63FCD"/>
    <w:rsid w:val="00A73077"/>
    <w:rsid w:val="00AA55B0"/>
    <w:rsid w:val="00AB03D3"/>
    <w:rsid w:val="00AB356E"/>
    <w:rsid w:val="00AB484C"/>
    <w:rsid w:val="00AC08A8"/>
    <w:rsid w:val="00AE1FBD"/>
    <w:rsid w:val="00AE2541"/>
    <w:rsid w:val="00B157A3"/>
    <w:rsid w:val="00B30FA5"/>
    <w:rsid w:val="00B311D1"/>
    <w:rsid w:val="00B370A1"/>
    <w:rsid w:val="00B85320"/>
    <w:rsid w:val="00BA6BF8"/>
    <w:rsid w:val="00BC0927"/>
    <w:rsid w:val="00BC79BA"/>
    <w:rsid w:val="00C04F26"/>
    <w:rsid w:val="00C12EB5"/>
    <w:rsid w:val="00C17281"/>
    <w:rsid w:val="00C24AE4"/>
    <w:rsid w:val="00C5232D"/>
    <w:rsid w:val="00C64AB5"/>
    <w:rsid w:val="00C775EF"/>
    <w:rsid w:val="00CE5011"/>
    <w:rsid w:val="00D06F0C"/>
    <w:rsid w:val="00D106C5"/>
    <w:rsid w:val="00D359E1"/>
    <w:rsid w:val="00D37A68"/>
    <w:rsid w:val="00D45BC1"/>
    <w:rsid w:val="00D50473"/>
    <w:rsid w:val="00D6075B"/>
    <w:rsid w:val="00D95511"/>
    <w:rsid w:val="00DA66DD"/>
    <w:rsid w:val="00DC0EA1"/>
    <w:rsid w:val="00DC69FE"/>
    <w:rsid w:val="00E1400D"/>
    <w:rsid w:val="00E63A79"/>
    <w:rsid w:val="00E70482"/>
    <w:rsid w:val="00EC270F"/>
    <w:rsid w:val="00F176D0"/>
    <w:rsid w:val="00F626DB"/>
    <w:rsid w:val="00F87CC5"/>
    <w:rsid w:val="00F94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2956"/>
  <w15:docId w15:val="{A8EFC3F2-B980-4FE8-A799-60834A02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Heading2"/>
    <w:uiPriority w:val="9"/>
    <w:qFormat/>
    <w:rsid w:val="00204BE9"/>
    <w:pPr>
      <w:outlineLvl w:val="0"/>
    </w:pPr>
  </w:style>
  <w:style w:type="paragraph" w:styleId="Heading2">
    <w:name w:val="heading 2"/>
    <w:basedOn w:val="Normal"/>
    <w:uiPriority w:val="9"/>
    <w:unhideWhenUsed/>
    <w:qFormat/>
    <w:pPr>
      <w:ind w:left="140"/>
      <w:outlineLvl w:val="1"/>
    </w:pPr>
    <w:rPr>
      <w:sz w:val="36"/>
      <w:szCs w:val="36"/>
    </w:rPr>
  </w:style>
  <w:style w:type="paragraph" w:styleId="Heading3">
    <w:name w:val="heading 3"/>
    <w:basedOn w:val="Normal"/>
    <w:next w:val="Normal"/>
    <w:link w:val="Heading3Char"/>
    <w:uiPriority w:val="9"/>
    <w:semiHidden/>
    <w:unhideWhenUsed/>
    <w:qFormat/>
    <w:rsid w:val="00F87C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2513"/>
    <w:pPr>
      <w:spacing w:before="30"/>
      <w:ind w:left="140"/>
    </w:pPr>
  </w:style>
  <w:style w:type="paragraph" w:styleId="ListParagraph">
    <w:name w:val="List Paragraph"/>
    <w:basedOn w:val="Normal"/>
    <w:link w:val="ListParagraphChar"/>
    <w:uiPriority w:val="1"/>
    <w:qFormat/>
    <w:pPr>
      <w:ind w:left="635" w:hanging="360"/>
    </w:pPr>
  </w:style>
  <w:style w:type="paragraph" w:customStyle="1" w:styleId="TableParagraph">
    <w:name w:val="Table Paragraph"/>
    <w:basedOn w:val="Normal"/>
    <w:uiPriority w:val="1"/>
    <w:qFormat/>
  </w:style>
  <w:style w:type="paragraph" w:styleId="Revision">
    <w:name w:val="Revision"/>
    <w:hidden/>
    <w:uiPriority w:val="99"/>
    <w:semiHidden/>
    <w:rsid w:val="00204BE9"/>
    <w:pPr>
      <w:widowControl/>
      <w:autoSpaceDE/>
      <w:autoSpaceDN/>
    </w:pPr>
    <w:rPr>
      <w:rFonts w:ascii="Arial" w:eastAsia="Arial" w:hAnsi="Arial" w:cs="Arial"/>
    </w:rPr>
  </w:style>
  <w:style w:type="paragraph" w:customStyle="1" w:styleId="Bullets">
    <w:name w:val="Bullets"/>
    <w:basedOn w:val="ListParagraph"/>
    <w:link w:val="BulletsChar"/>
    <w:qFormat/>
    <w:rsid w:val="00A10544"/>
    <w:pPr>
      <w:numPr>
        <w:numId w:val="3"/>
      </w:numPr>
      <w:ind w:right="204"/>
    </w:pPr>
  </w:style>
  <w:style w:type="character" w:customStyle="1" w:styleId="ListParagraphChar">
    <w:name w:val="List Paragraph Char"/>
    <w:basedOn w:val="DefaultParagraphFont"/>
    <w:link w:val="ListParagraph"/>
    <w:uiPriority w:val="1"/>
    <w:rsid w:val="0038286D"/>
    <w:rPr>
      <w:rFonts w:ascii="Arial" w:eastAsia="Arial" w:hAnsi="Arial" w:cs="Arial"/>
    </w:rPr>
  </w:style>
  <w:style w:type="character" w:customStyle="1" w:styleId="BulletsChar">
    <w:name w:val="Bullets Char"/>
    <w:basedOn w:val="ListParagraphChar"/>
    <w:link w:val="Bullets"/>
    <w:rsid w:val="00A10544"/>
    <w:rPr>
      <w:rFonts w:ascii="Arial" w:eastAsia="Arial" w:hAnsi="Arial" w:cs="Arial"/>
    </w:rPr>
  </w:style>
  <w:style w:type="character" w:customStyle="1" w:styleId="Heading3Char">
    <w:name w:val="Heading 3 Char"/>
    <w:basedOn w:val="DefaultParagraphFont"/>
    <w:link w:val="Heading3"/>
    <w:uiPriority w:val="9"/>
    <w:semiHidden/>
    <w:rsid w:val="00F87CC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82AC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076E2"/>
    <w:rPr>
      <w:b/>
      <w:bCs/>
    </w:rPr>
  </w:style>
  <w:style w:type="character" w:styleId="Hyperlink">
    <w:name w:val="Hyperlink"/>
    <w:basedOn w:val="DefaultParagraphFont"/>
    <w:uiPriority w:val="99"/>
    <w:unhideWhenUsed/>
    <w:rsid w:val="00A73077"/>
    <w:rPr>
      <w:color w:val="0000FF" w:themeColor="hyperlink"/>
      <w:u w:val="single"/>
    </w:rPr>
  </w:style>
  <w:style w:type="character" w:styleId="UnresolvedMention">
    <w:name w:val="Unresolved Mention"/>
    <w:basedOn w:val="DefaultParagraphFont"/>
    <w:uiPriority w:val="99"/>
    <w:semiHidden/>
    <w:unhideWhenUsed/>
    <w:rsid w:val="00A73077"/>
    <w:rPr>
      <w:color w:val="605E5C"/>
      <w:shd w:val="clear" w:color="auto" w:fill="E1DFDD"/>
    </w:rPr>
  </w:style>
  <w:style w:type="character" w:styleId="FollowedHyperlink">
    <w:name w:val="FollowedHyperlink"/>
    <w:basedOn w:val="DefaultParagraphFont"/>
    <w:uiPriority w:val="99"/>
    <w:semiHidden/>
    <w:unhideWhenUsed/>
    <w:rsid w:val="00864BAB"/>
    <w:rPr>
      <w:color w:val="800080" w:themeColor="followedHyperlink"/>
      <w:u w:val="single"/>
    </w:rPr>
  </w:style>
  <w:style w:type="paragraph" w:styleId="Header">
    <w:name w:val="header"/>
    <w:basedOn w:val="Normal"/>
    <w:link w:val="HeaderChar"/>
    <w:uiPriority w:val="99"/>
    <w:semiHidden/>
    <w:unhideWhenUsed/>
    <w:rsid w:val="00DC69FE"/>
    <w:pPr>
      <w:tabs>
        <w:tab w:val="center" w:pos="4513"/>
        <w:tab w:val="right" w:pos="9026"/>
      </w:tabs>
    </w:pPr>
  </w:style>
  <w:style w:type="character" w:customStyle="1" w:styleId="HeaderChar">
    <w:name w:val="Header Char"/>
    <w:basedOn w:val="DefaultParagraphFont"/>
    <w:link w:val="Header"/>
    <w:uiPriority w:val="99"/>
    <w:semiHidden/>
    <w:rsid w:val="00DC69FE"/>
    <w:rPr>
      <w:rFonts w:ascii="Arial" w:eastAsia="Arial" w:hAnsi="Arial" w:cs="Arial"/>
    </w:rPr>
  </w:style>
  <w:style w:type="paragraph" w:styleId="Footer">
    <w:name w:val="footer"/>
    <w:basedOn w:val="Normal"/>
    <w:link w:val="FooterChar"/>
    <w:uiPriority w:val="99"/>
    <w:semiHidden/>
    <w:unhideWhenUsed/>
    <w:rsid w:val="00DC69FE"/>
    <w:pPr>
      <w:tabs>
        <w:tab w:val="center" w:pos="4513"/>
        <w:tab w:val="right" w:pos="9026"/>
      </w:tabs>
    </w:pPr>
  </w:style>
  <w:style w:type="character" w:customStyle="1" w:styleId="FooterChar">
    <w:name w:val="Footer Char"/>
    <w:basedOn w:val="DefaultParagraphFont"/>
    <w:link w:val="Footer"/>
    <w:uiPriority w:val="99"/>
    <w:semiHidden/>
    <w:rsid w:val="00DC69F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ove-mo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th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8F280D2C3944D9C7E236BEB797DDB" ma:contentTypeVersion="15" ma:contentTypeDescription="Create a new document." ma:contentTypeScope="" ma:versionID="135436d9ae29a0c22d140c8f74844f50">
  <xsd:schema xmlns:xsd="http://www.w3.org/2001/XMLSchema" xmlns:xs="http://www.w3.org/2001/XMLSchema" xmlns:p="http://schemas.microsoft.com/office/2006/metadata/properties" xmlns:ns2="5184c18c-9f17-41bb-a7e2-d18f6f39637d" xmlns:ns3="3b42d0a3-9279-457b-9be8-4ebeafe2bf86" targetNamespace="http://schemas.microsoft.com/office/2006/metadata/properties" ma:root="true" ma:fieldsID="1fdfc4295011e15be887776b73ba40ca" ns2:_="" ns3:_="">
    <xsd:import namespace="5184c18c-9f17-41bb-a7e2-d18f6f39637d"/>
    <xsd:import namespace="3b42d0a3-9279-457b-9be8-4ebeafe2bf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4c18c-9f17-41bb-a7e2-d18f6f396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e4f5b1-5742-48ba-9bec-a8887f1d3a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2d0a3-9279-457b-9be8-4ebeafe2bf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f6f27a-6318-4976-b920-40e561cd74b4}" ma:internalName="TaxCatchAll" ma:showField="CatchAllData" ma:web="3b42d0a3-9279-457b-9be8-4ebeafe2bf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42d0a3-9279-457b-9be8-4ebeafe2bf86" xsi:nil="true"/>
    <lcf76f155ced4ddcb4097134ff3c332f xmlns="5184c18c-9f17-41bb-a7e2-d18f6f3963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97BE26-01BE-479B-B036-D15D1F941771}">
  <ds:schemaRefs>
    <ds:schemaRef ds:uri="http://schemas.microsoft.com/sharepoint/v3/contenttype/forms"/>
  </ds:schemaRefs>
</ds:datastoreItem>
</file>

<file path=customXml/itemProps2.xml><?xml version="1.0" encoding="utf-8"?>
<ds:datastoreItem xmlns:ds="http://schemas.openxmlformats.org/officeDocument/2006/customXml" ds:itemID="{2C0E1E04-8BF5-4D08-9093-E811CCA1234D}"/>
</file>

<file path=customXml/itemProps3.xml><?xml version="1.0" encoding="utf-8"?>
<ds:datastoreItem xmlns:ds="http://schemas.openxmlformats.org/officeDocument/2006/customXml" ds:itemID="{2EFE5B98-0C5D-441F-B699-60251DC9C049}">
  <ds:schemaRefs>
    <ds:schemaRef ds:uri="http://schemas.microsoft.com/office/2006/metadata/properties"/>
    <ds:schemaRef ds:uri="http://schemas.microsoft.com/office/infopath/2007/PartnerControls"/>
    <ds:schemaRef ds:uri="d7c03137-b7f5-4938-a60a-94de88ed339e"/>
    <ds:schemaRef ds:uri="3b42d0a3-9279-457b-9be8-4ebeafe2bf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1809</Words>
  <Characters>10317</Characters>
  <Application>Microsoft Office Word</Application>
  <DocSecurity>0</DocSecurity>
  <Lines>85</Lines>
  <Paragraphs>24</Paragraphs>
  <ScaleCrop>false</ScaleCrop>
  <Company>Move More CIO</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 Dee Whitmore</dc:creator>
  <cp:lastModifiedBy>Dan Derrick</cp:lastModifiedBy>
  <cp:revision>2</cp:revision>
  <dcterms:created xsi:type="dcterms:W3CDTF">2026-06-23T14:19:00Z</dcterms:created>
  <dcterms:modified xsi:type="dcterms:W3CDTF">2026-06-23T14:19:00Z</dcterms:modified>
  <cp:version>Website PN- 2026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Acrobat PDFMaker 25 for Word</vt:lpwstr>
  </property>
  <property fmtid="{D5CDD505-2E9C-101B-9397-08002B2CF9AE}" pid="4" name="IWPFunction">
    <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RightsProtectiveMarking">
    <vt:lpwstr>1;#Official|0884c477-2e62-47ea-b19c-5af6e91124c5</vt:lpwstr>
  </property>
  <property fmtid="{D5CDD505-2E9C-101B-9397-08002B2CF9AE}" pid="8" name="IWPSiteType">
    <vt:lpwstr/>
  </property>
  <property fmtid="{D5CDD505-2E9C-101B-9397-08002B2CF9AE}" pid="9" name="IWPSubject">
    <vt:lpwstr/>
  </property>
  <property fmtid="{D5CDD505-2E9C-101B-9397-08002B2CF9AE}" pid="10" name="LastSaved">
    <vt:filetime>2026-04-20T00:00:00Z</vt:filetime>
  </property>
  <property fmtid="{D5CDD505-2E9C-101B-9397-08002B2CF9AE}" pid="11" name="MediaServiceImageTags">
    <vt:lpwstr/>
  </property>
  <property fmtid="{D5CDD505-2E9C-101B-9397-08002B2CF9AE}" pid="12" name="Order">
    <vt:lpwstr>1300.000000</vt:lpwstr>
  </property>
  <property fmtid="{D5CDD505-2E9C-101B-9397-08002B2CF9AE}" pid="13" name="Producer">
    <vt:lpwstr>Adobe PDF Library 25.1.51</vt:lpwstr>
  </property>
  <property fmtid="{D5CDD505-2E9C-101B-9397-08002B2CF9AE}" pid="14" name="SourceModified">
    <vt:lpwstr/>
  </property>
  <property fmtid="{D5CDD505-2E9C-101B-9397-08002B2CF9AE}" pid="15" name="_dlc_DocIdItemGuid">
    <vt:lpwstr>19d8e327-3dc1-4f8e-acee-6aa196d923c6</vt:lpwstr>
  </property>
  <property fmtid="{D5CDD505-2E9C-101B-9397-08002B2CF9AE}" pid="16" name="GrammarlyDocumentId">
    <vt:lpwstr>4f21c298-c3c7-4bf6-914b-c6d2acff4866</vt:lpwstr>
  </property>
  <property fmtid="{D5CDD505-2E9C-101B-9397-08002B2CF9AE}" pid="17" name="ContentTypeId">
    <vt:lpwstr>0x01010036E8F280D2C3944D9C7E236BEB797DDB</vt:lpwstr>
  </property>
</Properties>
</file>